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C378E" w14:textId="470C6813" w:rsidR="00F77E74" w:rsidRPr="002F6A63" w:rsidRDefault="00573E43" w:rsidP="00573E43">
      <w:pPr>
        <w:jc w:val="center"/>
        <w:rPr>
          <w:rFonts w:ascii="Palatino Linotype" w:hAnsi="Palatino Linotype"/>
          <w:b/>
          <w:bCs/>
        </w:rPr>
      </w:pPr>
      <w:r w:rsidRPr="002F6A63">
        <w:rPr>
          <w:rFonts w:ascii="Palatino Linotype" w:hAnsi="Palatino Linotype"/>
          <w:b/>
          <w:bCs/>
        </w:rPr>
        <w:t>Supplementary Materials</w:t>
      </w:r>
    </w:p>
    <w:p w14:paraId="073C60D6" w14:textId="6EDCF7ED" w:rsidR="00F77E74" w:rsidRDefault="00F77E74" w:rsidP="003F3CB8">
      <w:pPr>
        <w:jc w:val="center"/>
        <w:rPr>
          <w:rFonts w:ascii="Palatino Linotype" w:hAnsi="Palatino Linotype"/>
        </w:rPr>
      </w:pPr>
    </w:p>
    <w:p w14:paraId="2E203663" w14:textId="02742808" w:rsidR="003F3CB8" w:rsidRDefault="003F3CB8" w:rsidP="003F3CB8">
      <w:pPr>
        <w:jc w:val="center"/>
        <w:rPr>
          <w:rFonts w:ascii="Palatino Linotype" w:hAnsi="Palatino Linotype"/>
          <w:b/>
          <w:bCs/>
        </w:rPr>
      </w:pPr>
      <w:r w:rsidRPr="003F3CB8">
        <w:rPr>
          <w:rFonts w:ascii="Palatino Linotype" w:hAnsi="Palatino Linotype"/>
          <w:b/>
          <w:bCs/>
        </w:rPr>
        <w:t xml:space="preserve">Appendix A:  </w:t>
      </w:r>
      <w:r>
        <w:rPr>
          <w:rFonts w:ascii="Palatino Linotype" w:hAnsi="Palatino Linotype"/>
          <w:b/>
          <w:bCs/>
        </w:rPr>
        <w:t xml:space="preserve">Systematic CHC-model </w:t>
      </w:r>
      <w:r w:rsidR="000C4E56">
        <w:rPr>
          <w:rFonts w:ascii="Palatino Linotype" w:hAnsi="Palatino Linotype"/>
          <w:b/>
          <w:bCs/>
        </w:rPr>
        <w:t>B</w:t>
      </w:r>
      <w:r>
        <w:rPr>
          <w:rFonts w:ascii="Palatino Linotype" w:hAnsi="Palatino Linotype"/>
          <w:b/>
          <w:bCs/>
        </w:rPr>
        <w:t xml:space="preserve">ased </w:t>
      </w:r>
      <w:r w:rsidR="000C4E56">
        <w:rPr>
          <w:rFonts w:ascii="Palatino Linotype" w:hAnsi="Palatino Linotype"/>
          <w:b/>
          <w:bCs/>
        </w:rPr>
        <w:t>P</w:t>
      </w:r>
      <w:r w:rsidRPr="003F3CB8">
        <w:rPr>
          <w:rFonts w:ascii="Palatino Linotype" w:hAnsi="Palatino Linotype"/>
          <w:b/>
          <w:bCs/>
        </w:rPr>
        <w:t xml:space="preserve">rocess </w:t>
      </w:r>
      <w:r w:rsidR="000C4E56">
        <w:rPr>
          <w:rFonts w:ascii="Palatino Linotype" w:hAnsi="Palatino Linotype"/>
          <w:b/>
          <w:bCs/>
        </w:rPr>
        <w:t>U</w:t>
      </w:r>
      <w:r w:rsidRPr="003F3CB8">
        <w:rPr>
          <w:rFonts w:ascii="Palatino Linotype" w:hAnsi="Palatino Linotype"/>
          <w:b/>
          <w:bCs/>
        </w:rPr>
        <w:t xml:space="preserve">sed to </w:t>
      </w:r>
      <w:r w:rsidR="000C4E56">
        <w:rPr>
          <w:rFonts w:ascii="Palatino Linotype" w:hAnsi="Palatino Linotype"/>
          <w:b/>
          <w:bCs/>
        </w:rPr>
        <w:t>S</w:t>
      </w:r>
      <w:r w:rsidRPr="003F3CB8">
        <w:rPr>
          <w:rFonts w:ascii="Palatino Linotype" w:hAnsi="Palatino Linotype"/>
          <w:b/>
          <w:bCs/>
        </w:rPr>
        <w:t xml:space="preserve">elect </w:t>
      </w:r>
      <w:r w:rsidR="000C4E56">
        <w:rPr>
          <w:rFonts w:ascii="Palatino Linotype" w:hAnsi="Palatino Linotype"/>
          <w:b/>
          <w:bCs/>
        </w:rPr>
        <w:t>M</w:t>
      </w:r>
      <w:r w:rsidRPr="003F3CB8">
        <w:rPr>
          <w:rFonts w:ascii="Palatino Linotype" w:hAnsi="Palatino Linotype"/>
          <w:b/>
          <w:bCs/>
        </w:rPr>
        <w:t xml:space="preserve">easures for </w:t>
      </w:r>
      <w:r w:rsidR="000C4E56">
        <w:rPr>
          <w:rFonts w:ascii="Palatino Linotype" w:hAnsi="Palatino Linotype"/>
          <w:b/>
          <w:bCs/>
        </w:rPr>
        <w:t>A</w:t>
      </w:r>
      <w:r w:rsidRPr="003F3CB8">
        <w:rPr>
          <w:rFonts w:ascii="Palatino Linotype" w:hAnsi="Palatino Linotype"/>
          <w:b/>
          <w:bCs/>
        </w:rPr>
        <w:t>nalysis</w:t>
      </w:r>
    </w:p>
    <w:p w14:paraId="441B91BF" w14:textId="70B31BF6" w:rsidR="003F3CB8" w:rsidRDefault="003F3CB8" w:rsidP="003F3CB8">
      <w:pPr>
        <w:jc w:val="center"/>
        <w:rPr>
          <w:rFonts w:ascii="Palatino Linotype" w:hAnsi="Palatino Linotype"/>
          <w:b/>
          <w:bCs/>
        </w:rPr>
      </w:pPr>
    </w:p>
    <w:p w14:paraId="74B5D527" w14:textId="1494BEB7" w:rsidR="003E71CF" w:rsidRDefault="003E71CF" w:rsidP="002631F7">
      <w:pPr>
        <w:spacing w:after="240" w:line="360" w:lineRule="auto"/>
        <w:ind w:firstLine="720"/>
        <w:rPr>
          <w:rFonts w:ascii="Palatino Linotype" w:hAnsi="Palatino Linotype"/>
        </w:rPr>
      </w:pPr>
      <w:r>
        <w:rPr>
          <w:rFonts w:ascii="Palatino Linotype" w:hAnsi="Palatino Linotype"/>
        </w:rPr>
        <w:t xml:space="preserve">Using a set of multiple criteria, a systematic and deliberate process was </w:t>
      </w:r>
      <w:r w:rsidR="008073ED">
        <w:rPr>
          <w:rFonts w:ascii="Palatino Linotype" w:hAnsi="Palatino Linotype"/>
        </w:rPr>
        <w:t xml:space="preserve">followed </w:t>
      </w:r>
      <w:r>
        <w:rPr>
          <w:rFonts w:ascii="Palatino Linotype" w:hAnsi="Palatino Linotype"/>
        </w:rPr>
        <w:t xml:space="preserve">to select the best possible CHC construct measures </w:t>
      </w:r>
      <w:r w:rsidR="00F051ED">
        <w:rPr>
          <w:rFonts w:ascii="Palatino Linotype" w:hAnsi="Palatino Linotype"/>
        </w:rPr>
        <w:t>to</w:t>
      </w:r>
      <w:r>
        <w:rPr>
          <w:rFonts w:ascii="Palatino Linotype" w:hAnsi="Palatino Linotype"/>
        </w:rPr>
        <w:t xml:space="preserve"> minimize </w:t>
      </w:r>
      <w:r w:rsidR="00F051ED">
        <w:rPr>
          <w:rFonts w:ascii="Palatino Linotype" w:hAnsi="Palatino Linotype"/>
        </w:rPr>
        <w:t xml:space="preserve">potential </w:t>
      </w:r>
      <w:r>
        <w:rPr>
          <w:rFonts w:ascii="Palatino Linotype" w:hAnsi="Palatino Linotype"/>
        </w:rPr>
        <w:t>boundary specification issues (Bringmann et al., 2019; Neal &amp; Neal, 2021)</w:t>
      </w:r>
      <w:proofErr w:type="gramStart"/>
      <w:r>
        <w:rPr>
          <w:rFonts w:ascii="Palatino Linotype" w:hAnsi="Palatino Linotype"/>
        </w:rPr>
        <w:t>.</w:t>
      </w:r>
      <w:r w:rsidR="00B71D59">
        <w:rPr>
          <w:rFonts w:ascii="Palatino Linotype" w:hAnsi="Palatino Linotype"/>
        </w:rPr>
        <w:t xml:space="preserve"> </w:t>
      </w:r>
      <w:proofErr w:type="gramEnd"/>
      <w:r>
        <w:rPr>
          <w:rFonts w:ascii="Palatino Linotype" w:hAnsi="Palatino Linotype"/>
        </w:rPr>
        <w:t>Th</w:t>
      </w:r>
      <w:r w:rsidR="00F051ED">
        <w:rPr>
          <w:rFonts w:ascii="Palatino Linotype" w:hAnsi="Palatino Linotype"/>
        </w:rPr>
        <w:t>e</w:t>
      </w:r>
      <w:r>
        <w:rPr>
          <w:rFonts w:ascii="Palatino Linotype" w:hAnsi="Palatino Linotype"/>
        </w:rPr>
        <w:t xml:space="preserve"> process is described below.</w:t>
      </w:r>
    </w:p>
    <w:p w14:paraId="6A1DEB8E" w14:textId="7E1AE1D5" w:rsidR="003F3CB8" w:rsidRPr="003F3CB8" w:rsidRDefault="003F3CB8" w:rsidP="002631F7">
      <w:pPr>
        <w:spacing w:after="240" w:line="360" w:lineRule="auto"/>
        <w:ind w:firstLine="720"/>
        <w:rPr>
          <w:rFonts w:ascii="Palatino Linotype" w:hAnsi="Palatino Linotype"/>
        </w:rPr>
      </w:pPr>
      <w:r w:rsidRPr="003F3CB8">
        <w:rPr>
          <w:rFonts w:ascii="Palatino Linotype" w:hAnsi="Palatino Linotype"/>
        </w:rPr>
        <w:t>First, the artificial boundaries of the four separate WJ IV batteries (COG, OL, ACH, and ECAD) were ignored in the selection of tests and subtests.</w:t>
      </w:r>
      <w:r w:rsidRPr="003F3CB8">
        <w:rPr>
          <w:rFonts w:ascii="Palatino Linotype" w:hAnsi="Palatino Linotype"/>
          <w:vertAlign w:val="superscript"/>
        </w:rPr>
        <w:footnoteReference w:id="1"/>
      </w:r>
      <w:r w:rsidRPr="003F3CB8">
        <w:rPr>
          <w:rFonts w:ascii="Palatino Linotype" w:hAnsi="Palatino Linotype"/>
        </w:rPr>
        <w:t xml:space="preserve">  This provided the largest pool for selecting measures to best define broad CHC ability domains</w:t>
      </w:r>
      <w:proofErr w:type="gramStart"/>
      <w:r w:rsidR="00053BA0">
        <w:rPr>
          <w:rFonts w:ascii="Palatino Linotype" w:hAnsi="Palatino Linotype"/>
        </w:rPr>
        <w:t xml:space="preserve">. </w:t>
      </w:r>
      <w:proofErr w:type="gramEnd"/>
      <w:r w:rsidRPr="003F3CB8">
        <w:rPr>
          <w:rFonts w:ascii="Palatino Linotype" w:hAnsi="Palatino Linotype"/>
        </w:rPr>
        <w:t xml:space="preserve">Second, the extant structural analysis research of the last three versions of the WJ battery were reviewed (i.e., confirmatory factor analysis of the WJ-R, WJ III and WJ IV; exploratory cluster, factor, and multidimensional scaling analysis of the WJ IV; hereafter this body of research is referred to as the </w:t>
      </w:r>
      <w:bookmarkStart w:id="0" w:name="_Hlk85054889"/>
      <w:r w:rsidRPr="003F3CB8">
        <w:rPr>
          <w:rFonts w:ascii="Palatino Linotype" w:hAnsi="Palatino Linotype"/>
          <w:i/>
          <w:iCs/>
        </w:rPr>
        <w:t>extant WJ-R to WJ IV CHC research</w:t>
      </w:r>
      <w:bookmarkEnd w:id="0"/>
      <w:r w:rsidRPr="003F3CB8">
        <w:rPr>
          <w:rFonts w:ascii="Palatino Linotype" w:hAnsi="Palatino Linotype"/>
        </w:rPr>
        <w:t>) as per contemporary CHC theory (Schneider &amp; McGrew, 2018)</w:t>
      </w:r>
      <w:proofErr w:type="gramStart"/>
      <w:r w:rsidR="00053BA0">
        <w:rPr>
          <w:rFonts w:ascii="Palatino Linotype" w:hAnsi="Palatino Linotype"/>
        </w:rPr>
        <w:t xml:space="preserve">. </w:t>
      </w:r>
      <w:proofErr w:type="gramEnd"/>
      <w:r w:rsidRPr="003F3CB8">
        <w:rPr>
          <w:rFonts w:ascii="Palatino Linotype" w:hAnsi="Palatino Linotype"/>
        </w:rPr>
        <w:t xml:space="preserve">The measures were selected not to conform to the CHC cluster composition in the published WJ IV, but rather, to provide the most empirically valid </w:t>
      </w:r>
      <w:r w:rsidR="00501082">
        <w:rPr>
          <w:rFonts w:ascii="Palatino Linotype" w:hAnsi="Palatino Linotype"/>
        </w:rPr>
        <w:t xml:space="preserve">and “pure” </w:t>
      </w:r>
      <w:r w:rsidRPr="003F3CB8">
        <w:rPr>
          <w:rFonts w:ascii="Palatino Linotype" w:hAnsi="Palatino Linotype"/>
        </w:rPr>
        <w:t>indicators of CHC broad cognitive ability theoretical constructs</w:t>
      </w:r>
      <w:proofErr w:type="gramStart"/>
      <w:r w:rsidR="00053BA0">
        <w:rPr>
          <w:rFonts w:ascii="Palatino Linotype" w:hAnsi="Palatino Linotype"/>
        </w:rPr>
        <w:t xml:space="preserve">. </w:t>
      </w:r>
      <w:proofErr w:type="gramEnd"/>
      <w:r w:rsidRPr="003F3CB8">
        <w:rPr>
          <w:rFonts w:ascii="Palatino Linotype" w:hAnsi="Palatino Linotype"/>
        </w:rPr>
        <w:t>Third, post</w:t>
      </w:r>
      <w:r w:rsidR="00145519">
        <w:rPr>
          <w:rFonts w:ascii="Palatino Linotype" w:hAnsi="Palatino Linotype"/>
        </w:rPr>
        <w:t>-</w:t>
      </w:r>
      <w:r w:rsidRPr="003F3CB8">
        <w:rPr>
          <w:rFonts w:ascii="Palatino Linotype" w:hAnsi="Palatino Linotype"/>
        </w:rPr>
        <w:t>WJ IV publication, significant revisions were made to the CHC taxonomy as well as cogent criticisms were made of some of the WJ IV cognitive measures</w:t>
      </w:r>
      <w:proofErr w:type="gramStart"/>
      <w:r w:rsidR="00053BA0">
        <w:rPr>
          <w:rFonts w:ascii="Palatino Linotype" w:hAnsi="Palatino Linotype"/>
        </w:rPr>
        <w:t xml:space="preserve">. </w:t>
      </w:r>
      <w:proofErr w:type="gramEnd"/>
      <w:r w:rsidRPr="003F3CB8">
        <w:rPr>
          <w:rFonts w:ascii="Palatino Linotype" w:hAnsi="Palatino Linotype"/>
        </w:rPr>
        <w:t xml:space="preserve">In particular, the CHC Glr (long-term storage and retrieval) ability was split in </w:t>
      </w:r>
      <w:proofErr w:type="spellStart"/>
      <w:r w:rsidRPr="003F3CB8">
        <w:rPr>
          <w:rFonts w:ascii="Palatino Linotype" w:hAnsi="Palatino Linotype"/>
        </w:rPr>
        <w:t>to</w:t>
      </w:r>
      <w:proofErr w:type="spellEnd"/>
      <w:r w:rsidRPr="003F3CB8">
        <w:rPr>
          <w:rFonts w:ascii="Palatino Linotype" w:hAnsi="Palatino Linotype"/>
        </w:rPr>
        <w:t xml:space="preserve"> </w:t>
      </w:r>
      <w:r w:rsidRPr="003F3CB8">
        <w:rPr>
          <w:rFonts w:ascii="Palatino Linotype" w:hAnsi="Palatino Linotype"/>
        </w:rPr>
        <w:lastRenderedPageBreak/>
        <w:t>separate Gl (learning efficiency) and Gr (retrieval fluency) abilities (Schneider &amp; McGrew, 2018)</w:t>
      </w:r>
      <w:proofErr w:type="gramStart"/>
      <w:r w:rsidR="00053BA0">
        <w:rPr>
          <w:rFonts w:ascii="Palatino Linotype" w:hAnsi="Palatino Linotype"/>
        </w:rPr>
        <w:t xml:space="preserve">. </w:t>
      </w:r>
      <w:proofErr w:type="gramEnd"/>
      <w:r w:rsidRPr="003F3CB8">
        <w:rPr>
          <w:rFonts w:ascii="Palatino Linotype" w:hAnsi="Palatino Linotype"/>
        </w:rPr>
        <w:t xml:space="preserve">Schneider and McGrew (2018) suggested that when using the WJ IV batteries, the WJ IV COG Long-term Storage and Retrieval cluster should be considered a measure of </w:t>
      </w:r>
      <w:proofErr w:type="gramStart"/>
      <w:r w:rsidRPr="003F3CB8">
        <w:rPr>
          <w:rFonts w:ascii="Palatino Linotype" w:hAnsi="Palatino Linotype"/>
        </w:rPr>
        <w:t>Gl</w:t>
      </w:r>
      <w:proofErr w:type="gramEnd"/>
      <w:r w:rsidRPr="003F3CB8">
        <w:rPr>
          <w:rFonts w:ascii="Palatino Linotype" w:hAnsi="Palatino Linotype"/>
        </w:rPr>
        <w:t xml:space="preserve"> and the OL Speed of Lexical Access cluster be interpreted as measuring Gr</w:t>
      </w:r>
      <w:r w:rsidR="00053BA0">
        <w:rPr>
          <w:rFonts w:ascii="Palatino Linotype" w:hAnsi="Palatino Linotype"/>
        </w:rPr>
        <w:t xml:space="preserve">. </w:t>
      </w:r>
      <w:r w:rsidRPr="003F3CB8">
        <w:rPr>
          <w:rFonts w:ascii="Palatino Linotype" w:hAnsi="Palatino Linotype"/>
        </w:rPr>
        <w:t>Despite th</w:t>
      </w:r>
      <w:r w:rsidR="00D13699">
        <w:rPr>
          <w:rFonts w:ascii="Palatino Linotype" w:hAnsi="Palatino Linotype"/>
        </w:rPr>
        <w:t>e</w:t>
      </w:r>
      <w:r w:rsidR="005F50C6">
        <w:rPr>
          <w:rFonts w:ascii="Palatino Linotype" w:hAnsi="Palatino Linotype"/>
        </w:rPr>
        <w:t xml:space="preserve"> Gl</w:t>
      </w:r>
      <w:r w:rsidRPr="003F3CB8">
        <w:rPr>
          <w:rFonts w:ascii="Palatino Linotype" w:hAnsi="Palatino Linotype"/>
        </w:rPr>
        <w:t xml:space="preserve"> recommendation, the extant WJ-R to WJ IV CHC research has not provided </w:t>
      </w:r>
      <w:r w:rsidR="00501082">
        <w:rPr>
          <w:rFonts w:ascii="Palatino Linotype" w:hAnsi="Palatino Linotype"/>
        </w:rPr>
        <w:t xml:space="preserve">robust </w:t>
      </w:r>
      <w:r w:rsidRPr="003F3CB8">
        <w:rPr>
          <w:rFonts w:ascii="Palatino Linotype" w:hAnsi="Palatino Linotype"/>
        </w:rPr>
        <w:t>convincing support for the pairing of the Visual-Auditory Learning and Story Recall tests as a strong Gl composite</w:t>
      </w:r>
      <w:proofErr w:type="gramStart"/>
      <w:r w:rsidR="00053BA0">
        <w:rPr>
          <w:rFonts w:ascii="Palatino Linotype" w:hAnsi="Palatino Linotype"/>
        </w:rPr>
        <w:t xml:space="preserve">. </w:t>
      </w:r>
      <w:proofErr w:type="gramEnd"/>
      <w:r w:rsidR="00975068">
        <w:rPr>
          <w:rFonts w:ascii="Palatino Linotype" w:hAnsi="Palatino Linotype"/>
        </w:rPr>
        <w:t xml:space="preserve">This </w:t>
      </w:r>
      <w:r w:rsidRPr="003F3CB8">
        <w:rPr>
          <w:rFonts w:ascii="Palatino Linotype" w:hAnsi="Palatino Linotype"/>
        </w:rPr>
        <w:t>is consistent with Schneider’s (2016) criticism of the Visual-Auditory Learning test as not being a strong indicator of associative memory (MA) as per CHC theory</w:t>
      </w:r>
      <w:proofErr w:type="gramStart"/>
      <w:r w:rsidR="00053BA0">
        <w:rPr>
          <w:rFonts w:ascii="Palatino Linotype" w:hAnsi="Palatino Linotype"/>
        </w:rPr>
        <w:t xml:space="preserve">. </w:t>
      </w:r>
      <w:proofErr w:type="gramEnd"/>
      <w:r w:rsidRPr="003F3CB8">
        <w:rPr>
          <w:rFonts w:ascii="Palatino Linotype" w:hAnsi="Palatino Linotype"/>
        </w:rPr>
        <w:t>These two Gl tests were thus excluded from the primary and first secondary sensitivity analyses</w:t>
      </w:r>
      <w:proofErr w:type="gramStart"/>
      <w:r w:rsidR="00053BA0">
        <w:rPr>
          <w:rFonts w:ascii="Palatino Linotype" w:hAnsi="Palatino Linotype"/>
        </w:rPr>
        <w:t xml:space="preserve">. </w:t>
      </w:r>
      <w:proofErr w:type="gramEnd"/>
      <w:r w:rsidRPr="003F3CB8">
        <w:rPr>
          <w:rFonts w:ascii="Palatino Linotype" w:hAnsi="Palatino Linotype"/>
        </w:rPr>
        <w:t>Furthermore, Schneider (2016) criticized certain WJ IV subtest-based measures (e.g., the COG Phonological Processing test is comprised of three subtests) for producing tests that are mixed measures of multiple CHC abilities (i.e., “Frankentests”)</w:t>
      </w:r>
      <w:proofErr w:type="gramStart"/>
      <w:r w:rsidR="00053BA0">
        <w:rPr>
          <w:rFonts w:ascii="Palatino Linotype" w:hAnsi="Palatino Linotype"/>
        </w:rPr>
        <w:t xml:space="preserve">. </w:t>
      </w:r>
      <w:proofErr w:type="gramEnd"/>
      <w:r w:rsidRPr="003F3CB8">
        <w:rPr>
          <w:rFonts w:ascii="Palatino Linotype" w:hAnsi="Palatino Linotype"/>
        </w:rPr>
        <w:t>To select the most valid pool of CHC broad ability construct indicators from the complete WJ IV battery, where appropriate, select subtests replaced the composite tests they comprised</w:t>
      </w:r>
      <w:proofErr w:type="gramStart"/>
      <w:r w:rsidR="00053BA0">
        <w:rPr>
          <w:rFonts w:ascii="Palatino Linotype" w:hAnsi="Palatino Linotype"/>
        </w:rPr>
        <w:t xml:space="preserve">. </w:t>
      </w:r>
      <w:proofErr w:type="gramEnd"/>
      <w:r w:rsidRPr="003F3CB8">
        <w:rPr>
          <w:rFonts w:ascii="Palatino Linotype" w:hAnsi="Palatino Linotype"/>
        </w:rPr>
        <w:t>The Word Access, Word Substitution, Word Fluency subtests were used instead of the single Phonological Processing test.</w:t>
      </w:r>
      <w:r w:rsidRPr="003F3CB8">
        <w:rPr>
          <w:rFonts w:ascii="Palatino Linotype" w:hAnsi="Palatino Linotype"/>
          <w:vertAlign w:val="superscript"/>
        </w:rPr>
        <w:footnoteReference w:id="2"/>
      </w:r>
      <w:r w:rsidRPr="003F3CB8">
        <w:rPr>
          <w:rFonts w:ascii="Palatino Linotype" w:hAnsi="Palatino Linotype"/>
        </w:rPr>
        <w:t xml:space="preserve">  </w:t>
      </w:r>
    </w:p>
    <w:p w14:paraId="18E28C57" w14:textId="10ABF95A" w:rsidR="003F3CB8" w:rsidRPr="003F3CB8" w:rsidRDefault="003F3CB8" w:rsidP="00485123">
      <w:pPr>
        <w:spacing w:after="240" w:line="360" w:lineRule="auto"/>
        <w:ind w:firstLine="720"/>
        <w:rPr>
          <w:rFonts w:ascii="Palatino Linotype" w:hAnsi="Palatino Linotype"/>
        </w:rPr>
      </w:pPr>
      <w:r w:rsidRPr="003F3CB8">
        <w:rPr>
          <w:rFonts w:ascii="Palatino Linotype" w:hAnsi="Palatino Linotype"/>
        </w:rPr>
        <w:t>The overriding goal of the careful measure selection process was to operationalize each CHC broad ability domain with three of the most valid WJ IV CHC ability domain indicators</w:t>
      </w:r>
      <w:proofErr w:type="gramStart"/>
      <w:r w:rsidR="00053BA0">
        <w:rPr>
          <w:rFonts w:ascii="Palatino Linotype" w:hAnsi="Palatino Linotype"/>
        </w:rPr>
        <w:t xml:space="preserve">. </w:t>
      </w:r>
      <w:proofErr w:type="gramEnd"/>
      <w:r w:rsidRPr="003F3CB8">
        <w:rPr>
          <w:rFonts w:ascii="Palatino Linotype" w:hAnsi="Palatino Linotype"/>
        </w:rPr>
        <w:t>This goal was achieved for all but the CHC domains of Gl and Gv</w:t>
      </w:r>
      <w:proofErr w:type="gramStart"/>
      <w:r w:rsidR="00053BA0">
        <w:rPr>
          <w:rFonts w:ascii="Palatino Linotype" w:hAnsi="Palatino Linotype"/>
        </w:rPr>
        <w:t xml:space="preserve">. </w:t>
      </w:r>
      <w:proofErr w:type="gramEnd"/>
      <w:r w:rsidRPr="003F3CB8">
        <w:rPr>
          <w:rFonts w:ascii="Palatino Linotype" w:hAnsi="Palatino Linotype"/>
        </w:rPr>
        <w:t xml:space="preserve">The WJ IV Gv cluster Picture Recognition </w:t>
      </w:r>
      <w:r w:rsidR="00192A30">
        <w:rPr>
          <w:rFonts w:ascii="Palatino Linotype" w:hAnsi="Palatino Linotype"/>
        </w:rPr>
        <w:t>measure</w:t>
      </w:r>
      <w:r w:rsidRPr="003F3CB8">
        <w:rPr>
          <w:rFonts w:ascii="Palatino Linotype" w:hAnsi="Palatino Linotype"/>
        </w:rPr>
        <w:t xml:space="preserve"> was omitted based on Schneider and McGrew’s (2018) agreement with Carroll (1993) who stated that he was not aware of “any research on the usefulness of visual memory tasks in predicting educational or occupational success” (p</w:t>
      </w:r>
      <w:r w:rsidR="00053BA0">
        <w:rPr>
          <w:rFonts w:ascii="Palatino Linotype" w:hAnsi="Palatino Linotype"/>
        </w:rPr>
        <w:t xml:space="preserve">. </w:t>
      </w:r>
      <w:r w:rsidRPr="003F3CB8">
        <w:rPr>
          <w:rFonts w:ascii="Palatino Linotype" w:hAnsi="Palatino Linotype"/>
        </w:rPr>
        <w:t>284)</w:t>
      </w:r>
      <w:proofErr w:type="gramStart"/>
      <w:r w:rsidR="00053BA0">
        <w:rPr>
          <w:rFonts w:ascii="Palatino Linotype" w:hAnsi="Palatino Linotype"/>
        </w:rPr>
        <w:t xml:space="preserve">. </w:t>
      </w:r>
      <w:proofErr w:type="gramEnd"/>
      <w:r w:rsidRPr="003F3CB8">
        <w:rPr>
          <w:rFonts w:ascii="Palatino Linotype" w:hAnsi="Palatino Linotype"/>
        </w:rPr>
        <w:t xml:space="preserve">Only two robust valid indicators were identified for Gv (i.e., the Visualization </w:t>
      </w:r>
      <w:r w:rsidR="00192A30">
        <w:rPr>
          <w:rFonts w:ascii="Palatino Linotype" w:hAnsi="Palatino Linotype"/>
        </w:rPr>
        <w:t>measures</w:t>
      </w:r>
      <w:r w:rsidRPr="003F3CB8">
        <w:rPr>
          <w:rFonts w:ascii="Palatino Linotype" w:hAnsi="Palatino Linotype"/>
        </w:rPr>
        <w:t xml:space="preserve"> of Spatial Relations and Block Rotation that correlate .54 in the current sample)</w:t>
      </w:r>
      <w:proofErr w:type="gramStart"/>
      <w:r w:rsidR="00053BA0">
        <w:rPr>
          <w:rFonts w:ascii="Palatino Linotype" w:hAnsi="Palatino Linotype"/>
        </w:rPr>
        <w:t xml:space="preserve">. </w:t>
      </w:r>
      <w:proofErr w:type="gramEnd"/>
      <w:r w:rsidR="00A37503">
        <w:rPr>
          <w:rFonts w:ascii="Palatino Linotype" w:hAnsi="Palatino Linotype"/>
        </w:rPr>
        <w:t>Some m</w:t>
      </w:r>
      <w:r w:rsidRPr="003F3CB8">
        <w:rPr>
          <w:rFonts w:ascii="Palatino Linotype" w:hAnsi="Palatino Linotype"/>
        </w:rPr>
        <w:t xml:space="preserve">easures that may </w:t>
      </w:r>
      <w:r w:rsidR="00F72B8C">
        <w:rPr>
          <w:rFonts w:ascii="Palatino Linotype" w:hAnsi="Palatino Linotype"/>
        </w:rPr>
        <w:t xml:space="preserve">have been </w:t>
      </w:r>
      <w:r w:rsidRPr="003F3CB8">
        <w:rPr>
          <w:rFonts w:ascii="Palatino Linotype" w:hAnsi="Palatino Linotype"/>
        </w:rPr>
        <w:t>featured in certain CHC-based WJ IV published clusters</w:t>
      </w:r>
      <w:r w:rsidR="00A37503">
        <w:rPr>
          <w:rFonts w:ascii="Palatino Linotype" w:hAnsi="Palatino Linotype"/>
        </w:rPr>
        <w:t xml:space="preserve"> </w:t>
      </w:r>
      <w:r w:rsidRPr="003F3CB8">
        <w:rPr>
          <w:rFonts w:ascii="Palatino Linotype" w:hAnsi="Palatino Linotype"/>
        </w:rPr>
        <w:t xml:space="preserve">were not selected </w:t>
      </w:r>
      <w:r w:rsidR="0032736D">
        <w:rPr>
          <w:rFonts w:ascii="Palatino Linotype" w:hAnsi="Palatino Linotype"/>
        </w:rPr>
        <w:t>when</w:t>
      </w:r>
      <w:r w:rsidRPr="003F3CB8">
        <w:rPr>
          <w:rFonts w:ascii="Palatino Linotype" w:hAnsi="Palatino Linotype"/>
        </w:rPr>
        <w:t xml:space="preserve"> the extant WJ-R to WJ IV CHC research </w:t>
      </w:r>
      <w:r w:rsidR="00A4538B">
        <w:rPr>
          <w:rFonts w:ascii="Palatino Linotype" w:hAnsi="Palatino Linotype"/>
        </w:rPr>
        <w:t xml:space="preserve">suggested a measure </w:t>
      </w:r>
      <w:r w:rsidR="00485123">
        <w:rPr>
          <w:rFonts w:ascii="Palatino Linotype" w:hAnsi="Palatino Linotype"/>
        </w:rPr>
        <w:t xml:space="preserve">had mixed CHC </w:t>
      </w:r>
      <w:r w:rsidR="00267E60">
        <w:rPr>
          <w:rFonts w:ascii="Palatino Linotype" w:hAnsi="Palatino Linotype"/>
        </w:rPr>
        <w:t>construct</w:t>
      </w:r>
      <w:r w:rsidR="00485123">
        <w:rPr>
          <w:rFonts w:ascii="Palatino Linotype" w:hAnsi="Palatino Linotype"/>
        </w:rPr>
        <w:t xml:space="preserve"> variance.  For example, </w:t>
      </w:r>
      <w:r w:rsidRPr="003F3CB8">
        <w:rPr>
          <w:rFonts w:ascii="Palatino Linotype" w:hAnsi="Palatino Linotype"/>
        </w:rPr>
        <w:t xml:space="preserve">Numbers Reversed </w:t>
      </w:r>
      <w:r w:rsidR="00672059">
        <w:rPr>
          <w:rFonts w:ascii="Palatino Linotype" w:hAnsi="Palatino Linotype"/>
        </w:rPr>
        <w:t xml:space="preserve">has been reported to </w:t>
      </w:r>
      <w:r w:rsidRPr="003F3CB8">
        <w:rPr>
          <w:rFonts w:ascii="Palatino Linotype" w:hAnsi="Palatino Linotype"/>
        </w:rPr>
        <w:t>measure other secondary CHC variance</w:t>
      </w:r>
      <w:proofErr w:type="gramStart"/>
      <w:r w:rsidR="00672059">
        <w:rPr>
          <w:rFonts w:ascii="Palatino Linotype" w:hAnsi="Palatino Linotype"/>
        </w:rPr>
        <w:t xml:space="preserve">. </w:t>
      </w:r>
      <w:proofErr w:type="gramEnd"/>
      <w:r w:rsidR="00672059">
        <w:rPr>
          <w:rFonts w:ascii="Palatino Linotype" w:hAnsi="Palatino Linotype"/>
        </w:rPr>
        <w:t>T</w:t>
      </w:r>
      <w:r w:rsidRPr="003F3CB8">
        <w:rPr>
          <w:rFonts w:ascii="Palatino Linotype" w:hAnsi="Palatino Linotype"/>
        </w:rPr>
        <w:t>he</w:t>
      </w:r>
      <w:r w:rsidR="00F72B8C">
        <w:rPr>
          <w:rFonts w:ascii="Palatino Linotype" w:hAnsi="Palatino Linotype"/>
        </w:rPr>
        <w:t xml:space="preserve"> </w:t>
      </w:r>
      <w:r w:rsidRPr="003F3CB8">
        <w:rPr>
          <w:rFonts w:ascii="Palatino Linotype" w:hAnsi="Palatino Linotype"/>
        </w:rPr>
        <w:t>Numbers Reversed test displayed primary Gwm loadings</w:t>
      </w:r>
      <w:r w:rsidR="004C2AB4">
        <w:rPr>
          <w:rFonts w:ascii="Palatino Linotype" w:hAnsi="Palatino Linotype"/>
        </w:rPr>
        <w:t xml:space="preserve"> and </w:t>
      </w:r>
      <w:r w:rsidRPr="003F3CB8">
        <w:rPr>
          <w:rFonts w:ascii="Palatino Linotype" w:hAnsi="Palatino Linotype"/>
        </w:rPr>
        <w:t xml:space="preserve">secondary Gq loadings in the WJ IV norm </w:t>
      </w:r>
      <w:r w:rsidRPr="003F3CB8">
        <w:rPr>
          <w:rFonts w:ascii="Palatino Linotype" w:hAnsi="Palatino Linotype"/>
        </w:rPr>
        <w:lastRenderedPageBreak/>
        <w:t xml:space="preserve">data, </w:t>
      </w:r>
      <w:r w:rsidR="004C2AB4">
        <w:rPr>
          <w:rFonts w:ascii="Palatino Linotype" w:hAnsi="Palatino Linotype"/>
        </w:rPr>
        <w:t xml:space="preserve">with the secondary Gq factor loading </w:t>
      </w:r>
      <w:r w:rsidRPr="003F3CB8">
        <w:rPr>
          <w:rFonts w:ascii="Palatino Linotype" w:hAnsi="Palatino Linotype"/>
        </w:rPr>
        <w:t>most likely representing quantitative stimulus content characteristics</w:t>
      </w:r>
      <w:r w:rsidR="004C2AB4">
        <w:rPr>
          <w:rFonts w:ascii="Palatino Linotype" w:hAnsi="Palatino Linotype"/>
        </w:rPr>
        <w:t xml:space="preserve"> (</w:t>
      </w:r>
      <w:r w:rsidRPr="003F3CB8">
        <w:rPr>
          <w:rFonts w:ascii="Palatino Linotype" w:hAnsi="Palatino Linotype"/>
        </w:rPr>
        <w:t>McGrew et al., 2014)</w:t>
      </w:r>
      <w:r w:rsidR="00053BA0">
        <w:rPr>
          <w:rFonts w:ascii="Palatino Linotype" w:hAnsi="Palatino Linotype"/>
        </w:rPr>
        <w:t xml:space="preserve">. </w:t>
      </w:r>
    </w:p>
    <w:p w14:paraId="462EB2B5" w14:textId="6CF2BE85" w:rsidR="003F3CB8" w:rsidRPr="003F3CB8" w:rsidRDefault="003F3CB8" w:rsidP="002631F7">
      <w:pPr>
        <w:spacing w:after="240" w:line="360" w:lineRule="auto"/>
        <w:ind w:firstLine="720"/>
        <w:rPr>
          <w:rFonts w:ascii="Palatino Linotype" w:hAnsi="Palatino Linotype"/>
        </w:rPr>
      </w:pPr>
      <w:r w:rsidRPr="003F3CB8">
        <w:rPr>
          <w:rFonts w:ascii="Palatino Linotype" w:hAnsi="Palatino Linotype"/>
        </w:rPr>
        <w:t>As per the CHC test construction and interpretation principal of including multiple qualitatively different narrow ability measures in a composite score to maximize adequate construct representation (Comrey,</w:t>
      </w:r>
      <w:r w:rsidR="00EB2511">
        <w:rPr>
          <w:rFonts w:ascii="Palatino Linotype" w:hAnsi="Palatino Linotype"/>
        </w:rPr>
        <w:t xml:space="preserve"> </w:t>
      </w:r>
      <w:r w:rsidRPr="003F3CB8">
        <w:rPr>
          <w:rFonts w:ascii="Palatino Linotype" w:hAnsi="Palatino Linotype"/>
        </w:rPr>
        <w:t>1988; Messick, 1995; McGrew &amp; Flanagan, 1998), some CHC domain measures were selected over others (in the same domain) to provide broader coverage of the CHC broad ability</w:t>
      </w:r>
      <w:proofErr w:type="gramStart"/>
      <w:r w:rsidR="00053BA0">
        <w:rPr>
          <w:rFonts w:ascii="Palatino Linotype" w:hAnsi="Palatino Linotype"/>
        </w:rPr>
        <w:t xml:space="preserve">. </w:t>
      </w:r>
      <w:proofErr w:type="gramEnd"/>
      <w:r w:rsidRPr="003F3CB8">
        <w:rPr>
          <w:rFonts w:ascii="Palatino Linotype" w:hAnsi="Palatino Linotype"/>
        </w:rPr>
        <w:t>For example, Oral Comprehension, a Gc measure of listening ability (LS) added more unique narrow ability coverage of the Gc domain (as represented by the COG measures of Oral Vocabulary-VL and General Information-K0) than would another indicator of VL (Picture Vocabulary) (McGrew et al., 2014)</w:t>
      </w:r>
      <w:proofErr w:type="gramStart"/>
      <w:r w:rsidR="00053BA0">
        <w:rPr>
          <w:rFonts w:ascii="Palatino Linotype" w:hAnsi="Palatino Linotype"/>
        </w:rPr>
        <w:t xml:space="preserve">. </w:t>
      </w:r>
      <w:proofErr w:type="gramEnd"/>
      <w:r w:rsidRPr="003F3CB8">
        <w:rPr>
          <w:rFonts w:ascii="Palatino Linotype" w:hAnsi="Palatino Linotype"/>
        </w:rPr>
        <w:t>Number Series, a featured measure in the WJ IV COG, was not used in the primary 20-measure PNA given Schneider’s (2016) cogent criticism of the test being neither purely academic nor cognitive but occupying “…a weirdish wild space in between” (p</w:t>
      </w:r>
      <w:r w:rsidR="00053BA0">
        <w:rPr>
          <w:rFonts w:ascii="Palatino Linotype" w:hAnsi="Palatino Linotype"/>
        </w:rPr>
        <w:t xml:space="preserve">. </w:t>
      </w:r>
      <w:r w:rsidRPr="003F3CB8">
        <w:rPr>
          <w:rFonts w:ascii="Palatino Linotype" w:hAnsi="Palatino Linotype"/>
        </w:rPr>
        <w:t>196)</w:t>
      </w:r>
      <w:proofErr w:type="gramStart"/>
      <w:r w:rsidR="00053BA0">
        <w:rPr>
          <w:rFonts w:ascii="Palatino Linotype" w:hAnsi="Palatino Linotype"/>
        </w:rPr>
        <w:t xml:space="preserve">. </w:t>
      </w:r>
      <w:proofErr w:type="gramEnd"/>
      <w:r w:rsidRPr="003F3CB8">
        <w:rPr>
          <w:rFonts w:ascii="Palatino Linotype" w:hAnsi="Palatino Linotype"/>
        </w:rPr>
        <w:t>However, Number Series was included in a 23-measure supplementary sensitivity analysis for three reasons</w:t>
      </w:r>
      <w:proofErr w:type="gramStart"/>
      <w:r w:rsidR="00053BA0">
        <w:rPr>
          <w:rFonts w:ascii="Palatino Linotype" w:hAnsi="Palatino Linotype"/>
        </w:rPr>
        <w:t xml:space="preserve">. </w:t>
      </w:r>
      <w:proofErr w:type="gramEnd"/>
      <w:r w:rsidRPr="003F3CB8">
        <w:rPr>
          <w:rFonts w:ascii="Palatino Linotype" w:hAnsi="Palatino Linotype"/>
        </w:rPr>
        <w:t xml:space="preserve">First, the Number Series measure </w:t>
      </w:r>
      <w:r w:rsidR="003019AD">
        <w:rPr>
          <w:rFonts w:ascii="Palatino Linotype" w:hAnsi="Palatino Linotype"/>
        </w:rPr>
        <w:t>is</w:t>
      </w:r>
      <w:r w:rsidRPr="003F3CB8">
        <w:rPr>
          <w:rFonts w:ascii="Palatino Linotype" w:hAnsi="Palatino Linotype"/>
        </w:rPr>
        <w:t xml:space="preserve"> featured prominently in the WJ IV COG General Intellectual Ability (GIA) and Gf clusters</w:t>
      </w:r>
      <w:proofErr w:type="gramStart"/>
      <w:r w:rsidR="00053BA0">
        <w:rPr>
          <w:rFonts w:ascii="Palatino Linotype" w:hAnsi="Palatino Linotype"/>
        </w:rPr>
        <w:t xml:space="preserve">. </w:t>
      </w:r>
      <w:proofErr w:type="gramEnd"/>
      <w:r w:rsidRPr="003F3CB8">
        <w:rPr>
          <w:rFonts w:ascii="Palatino Linotype" w:hAnsi="Palatino Linotype"/>
        </w:rPr>
        <w:t xml:space="preserve">As reported in the WJ IV Technical Manual, number series measures have a long history as strong measures of Gf (Carroll, 1993) and Number Series was the WJ IV’s strongest measure of Gf and one of the strongest indicators of psychometric </w:t>
      </w:r>
      <w:r w:rsidRPr="003F3CB8">
        <w:rPr>
          <w:rFonts w:ascii="Palatino Linotype" w:hAnsi="Palatino Linotype"/>
          <w:i/>
          <w:iCs/>
        </w:rPr>
        <w:t>g</w:t>
      </w:r>
      <w:r w:rsidRPr="003F3CB8">
        <w:rPr>
          <w:rFonts w:ascii="Palatino Linotype" w:hAnsi="Palatino Linotype"/>
        </w:rPr>
        <w:t xml:space="preserve"> and cognitively complexity (McGrew et al., 2014)</w:t>
      </w:r>
      <w:proofErr w:type="gramStart"/>
      <w:r w:rsidR="00053BA0">
        <w:rPr>
          <w:rFonts w:ascii="Palatino Linotype" w:hAnsi="Palatino Linotype"/>
        </w:rPr>
        <w:t xml:space="preserve">. </w:t>
      </w:r>
      <w:proofErr w:type="gramEnd"/>
      <w:r w:rsidRPr="003F3CB8">
        <w:rPr>
          <w:rFonts w:ascii="Palatino Linotype" w:hAnsi="Palatino Linotype"/>
        </w:rPr>
        <w:t>Second, Bulut et al.’s (2021) PNA of the 14 primary WJ IV COG measures reported Number Series as the most central measure in their reported network, a finding that required further exploration</w:t>
      </w:r>
      <w:proofErr w:type="gramStart"/>
      <w:r w:rsidR="00053BA0">
        <w:rPr>
          <w:rFonts w:ascii="Palatino Linotype" w:hAnsi="Palatino Linotype"/>
        </w:rPr>
        <w:t xml:space="preserve">. </w:t>
      </w:r>
      <w:proofErr w:type="gramEnd"/>
      <w:r w:rsidRPr="003F3CB8">
        <w:rPr>
          <w:rFonts w:ascii="Palatino Linotype" w:hAnsi="Palatino Linotype"/>
        </w:rPr>
        <w:t>Third, given Schneider’s (2016) criticism that Number Series may be a confounded cognitive (Gf) and achievement (Gq) measure, the impact of including Number Series together with two other Gq math achievement measures (Calculation and Applied Problems) provided the ability to evaluate the stability of the primary 20-measure network model via a secondary 23-measure “what if” boundary specification network sensitivity analysis.</w:t>
      </w:r>
      <w:r w:rsidRPr="003F3CB8">
        <w:rPr>
          <w:rFonts w:ascii="Palatino Linotype" w:hAnsi="Palatino Linotype"/>
          <w:vertAlign w:val="superscript"/>
        </w:rPr>
        <w:footnoteReference w:id="3"/>
      </w:r>
    </w:p>
    <w:p w14:paraId="153BC5CD" w14:textId="77777777" w:rsidR="00C6288F" w:rsidRDefault="00782B98" w:rsidP="00A21E41">
      <w:pPr>
        <w:jc w:val="center"/>
        <w:rPr>
          <w:rFonts w:ascii="Palatino Linotype" w:hAnsi="Palatino Linotype"/>
          <w:b/>
          <w:bCs/>
        </w:rPr>
      </w:pPr>
      <w:r w:rsidRPr="003F3CB8">
        <w:rPr>
          <w:rFonts w:ascii="Palatino Linotype" w:hAnsi="Palatino Linotype"/>
          <w:b/>
          <w:bCs/>
        </w:rPr>
        <w:lastRenderedPageBreak/>
        <w:t xml:space="preserve">Appendix </w:t>
      </w:r>
      <w:r w:rsidR="00041BDD">
        <w:rPr>
          <w:rFonts w:ascii="Palatino Linotype" w:hAnsi="Palatino Linotype"/>
          <w:b/>
          <w:bCs/>
        </w:rPr>
        <w:t>B</w:t>
      </w:r>
      <w:r w:rsidRPr="003F3CB8">
        <w:rPr>
          <w:rFonts w:ascii="Palatino Linotype" w:hAnsi="Palatino Linotype"/>
          <w:b/>
          <w:bCs/>
        </w:rPr>
        <w:t xml:space="preserve">:  </w:t>
      </w:r>
      <w:r w:rsidR="005906D0">
        <w:rPr>
          <w:rFonts w:ascii="Palatino Linotype" w:hAnsi="Palatino Linotype"/>
          <w:b/>
          <w:bCs/>
        </w:rPr>
        <w:t xml:space="preserve"> Creation of </w:t>
      </w:r>
      <w:r w:rsidR="0002200B">
        <w:rPr>
          <w:rFonts w:ascii="Palatino Linotype" w:hAnsi="Palatino Linotype"/>
          <w:b/>
          <w:bCs/>
        </w:rPr>
        <w:t>More Interpretable V</w:t>
      </w:r>
      <w:r w:rsidR="00C832F3">
        <w:rPr>
          <w:rFonts w:ascii="Palatino Linotype" w:hAnsi="Palatino Linotype"/>
          <w:b/>
          <w:bCs/>
        </w:rPr>
        <w:t xml:space="preserve">ersions of </w:t>
      </w:r>
      <w:r w:rsidR="0002200B">
        <w:rPr>
          <w:rFonts w:ascii="Palatino Linotype" w:hAnsi="Palatino Linotype"/>
          <w:b/>
          <w:bCs/>
        </w:rPr>
        <w:t>N</w:t>
      </w:r>
      <w:r w:rsidR="00C832F3">
        <w:rPr>
          <w:rFonts w:ascii="Palatino Linotype" w:hAnsi="Palatino Linotype"/>
          <w:b/>
          <w:bCs/>
        </w:rPr>
        <w:t xml:space="preserve">etwork </w:t>
      </w:r>
    </w:p>
    <w:p w14:paraId="003C4C5E" w14:textId="28425ECE" w:rsidR="00A643CF" w:rsidRDefault="00E31026" w:rsidP="00A21E41">
      <w:pPr>
        <w:jc w:val="center"/>
        <w:rPr>
          <w:rFonts w:ascii="Palatino Linotype" w:hAnsi="Palatino Linotype"/>
          <w:b/>
          <w:bCs/>
        </w:rPr>
      </w:pPr>
      <w:r>
        <w:rPr>
          <w:rFonts w:ascii="Palatino Linotype" w:hAnsi="Palatino Linotype"/>
          <w:b/>
          <w:bCs/>
        </w:rPr>
        <w:t xml:space="preserve">Figures 1 and 2 in </w:t>
      </w:r>
      <w:r w:rsidR="0002200B">
        <w:rPr>
          <w:rFonts w:ascii="Palatino Linotype" w:hAnsi="Palatino Linotype"/>
          <w:b/>
          <w:bCs/>
        </w:rPr>
        <w:t>M</w:t>
      </w:r>
      <w:r>
        <w:rPr>
          <w:rFonts w:ascii="Palatino Linotype" w:hAnsi="Palatino Linotype"/>
          <w:b/>
          <w:bCs/>
        </w:rPr>
        <w:t xml:space="preserve">ain </w:t>
      </w:r>
      <w:r w:rsidR="0002200B">
        <w:rPr>
          <w:rFonts w:ascii="Palatino Linotype" w:hAnsi="Palatino Linotype"/>
          <w:b/>
          <w:bCs/>
        </w:rPr>
        <w:t>A</w:t>
      </w:r>
      <w:r>
        <w:rPr>
          <w:rFonts w:ascii="Palatino Linotype" w:hAnsi="Palatino Linotype"/>
          <w:b/>
          <w:bCs/>
        </w:rPr>
        <w:t xml:space="preserve">rticle </w:t>
      </w:r>
      <w:r w:rsidR="0002200B">
        <w:rPr>
          <w:rFonts w:ascii="Palatino Linotype" w:hAnsi="Palatino Linotype"/>
          <w:b/>
          <w:bCs/>
        </w:rPr>
        <w:t>T</w:t>
      </w:r>
      <w:r>
        <w:rPr>
          <w:rFonts w:ascii="Palatino Linotype" w:hAnsi="Palatino Linotype"/>
          <w:b/>
          <w:bCs/>
        </w:rPr>
        <w:t>ext</w:t>
      </w:r>
    </w:p>
    <w:p w14:paraId="426385E3" w14:textId="543CAEF2" w:rsidR="00695CF7" w:rsidRPr="00A21E41" w:rsidRDefault="00257262" w:rsidP="00F83244">
      <w:pPr>
        <w:ind w:firstLine="720"/>
        <w:rPr>
          <w:rFonts w:ascii="Palatino Linotype" w:eastAsia="Times New Roman" w:hAnsi="Palatino Linotype"/>
        </w:rPr>
      </w:pPr>
      <w:r w:rsidRPr="00A21E41">
        <w:rPr>
          <w:rFonts w:ascii="Palatino Linotype" w:eastAsia="Times New Roman" w:hAnsi="Palatino Linotype"/>
        </w:rPr>
        <w:t xml:space="preserve">In the </w:t>
      </w:r>
      <w:r w:rsidR="00054FAB">
        <w:rPr>
          <w:rFonts w:ascii="Palatino Linotype" w:eastAsia="Times New Roman" w:hAnsi="Palatino Linotype"/>
        </w:rPr>
        <w:t xml:space="preserve">main </w:t>
      </w:r>
      <w:r w:rsidRPr="00A21E41">
        <w:rPr>
          <w:rFonts w:ascii="Palatino Linotype" w:eastAsia="Times New Roman" w:hAnsi="Palatino Linotype"/>
        </w:rPr>
        <w:t>text of th</w:t>
      </w:r>
      <w:r w:rsidR="00054FAB">
        <w:rPr>
          <w:rFonts w:ascii="Palatino Linotype" w:eastAsia="Times New Roman" w:hAnsi="Palatino Linotype"/>
        </w:rPr>
        <w:t>is</w:t>
      </w:r>
      <w:r w:rsidRPr="00A21E41">
        <w:rPr>
          <w:rFonts w:ascii="Palatino Linotype" w:eastAsia="Times New Roman" w:hAnsi="Palatino Linotype"/>
        </w:rPr>
        <w:t xml:space="preserve"> </w:t>
      </w:r>
      <w:r w:rsidR="00695CF7" w:rsidRPr="00A21E41">
        <w:rPr>
          <w:rFonts w:ascii="Palatino Linotype" w:eastAsia="Times New Roman" w:hAnsi="Palatino Linotype"/>
        </w:rPr>
        <w:t xml:space="preserve">paper, special network </w:t>
      </w:r>
      <w:r w:rsidR="00054FAB">
        <w:rPr>
          <w:rFonts w:ascii="Palatino Linotype" w:eastAsia="Times New Roman" w:hAnsi="Palatino Linotype"/>
        </w:rPr>
        <w:t>model figures</w:t>
      </w:r>
      <w:r w:rsidR="00CB4799">
        <w:rPr>
          <w:rFonts w:ascii="Palatino Linotype" w:eastAsia="Times New Roman" w:hAnsi="Palatino Linotype"/>
        </w:rPr>
        <w:t xml:space="preserve"> </w:t>
      </w:r>
      <w:r w:rsidR="00D0317B">
        <w:rPr>
          <w:rFonts w:ascii="Palatino Linotype" w:eastAsia="Times New Roman" w:hAnsi="Palatino Linotype"/>
        </w:rPr>
        <w:t xml:space="preserve">(Figures 1 and 2) </w:t>
      </w:r>
      <w:r w:rsidR="003506F7">
        <w:rPr>
          <w:rFonts w:ascii="Palatino Linotype" w:eastAsia="Times New Roman" w:hAnsi="Palatino Linotype"/>
        </w:rPr>
        <w:t xml:space="preserve">are </w:t>
      </w:r>
      <w:r w:rsidR="00CB4799">
        <w:rPr>
          <w:rFonts w:ascii="Palatino Linotype" w:eastAsia="Times New Roman" w:hAnsi="Palatino Linotype"/>
        </w:rPr>
        <w:t>presented that</w:t>
      </w:r>
      <w:r w:rsidR="00695CF7" w:rsidRPr="00A21E41">
        <w:rPr>
          <w:rFonts w:ascii="Palatino Linotype" w:eastAsia="Times New Roman" w:hAnsi="Palatino Linotype"/>
        </w:rPr>
        <w:t xml:space="preserve"> also include</w:t>
      </w:r>
      <w:r w:rsidR="00D0317B">
        <w:rPr>
          <w:rFonts w:ascii="Palatino Linotype" w:eastAsia="Times New Roman" w:hAnsi="Palatino Linotype"/>
        </w:rPr>
        <w:t>d</w:t>
      </w:r>
      <w:r w:rsidR="00695CF7" w:rsidRPr="00A21E41">
        <w:rPr>
          <w:rFonts w:ascii="Palatino Linotype" w:eastAsia="Times New Roman" w:hAnsi="Palatino Linotype"/>
        </w:rPr>
        <w:t xml:space="preserve"> select salient network edge weights (greater than or equal to .15)</w:t>
      </w:r>
      <w:r w:rsidR="003E3617" w:rsidRPr="00A21E41">
        <w:rPr>
          <w:rFonts w:ascii="Palatino Linotype" w:eastAsia="Times New Roman" w:hAnsi="Palatino Linotype"/>
        </w:rPr>
        <w:t xml:space="preserve"> and the designation of the most central measure nodes</w:t>
      </w:r>
      <w:proofErr w:type="gramStart"/>
      <w:r w:rsidR="00053BA0">
        <w:rPr>
          <w:rFonts w:ascii="Palatino Linotype" w:eastAsia="Times New Roman" w:hAnsi="Palatino Linotype"/>
        </w:rPr>
        <w:t xml:space="preserve">. </w:t>
      </w:r>
      <w:proofErr w:type="gramEnd"/>
      <w:r w:rsidR="00CC1B02" w:rsidRPr="00A21E41">
        <w:rPr>
          <w:rFonts w:ascii="Palatino Linotype" w:eastAsia="Times New Roman" w:hAnsi="Palatino Linotype"/>
        </w:rPr>
        <w:t xml:space="preserve">The raw and lightly edited </w:t>
      </w:r>
      <w:r w:rsidR="009748A4">
        <w:rPr>
          <w:rFonts w:ascii="Palatino Linotype" w:eastAsia="Times New Roman" w:hAnsi="Palatino Linotype"/>
        </w:rPr>
        <w:t xml:space="preserve">original </w:t>
      </w:r>
      <w:r w:rsidR="00CC1B02" w:rsidRPr="00A21E41">
        <w:rPr>
          <w:rFonts w:ascii="Palatino Linotype" w:eastAsia="Times New Roman" w:hAnsi="Palatino Linotype"/>
        </w:rPr>
        <w:t>network figures</w:t>
      </w:r>
      <w:r w:rsidR="00F77F01">
        <w:rPr>
          <w:rFonts w:ascii="Palatino Linotype" w:eastAsia="Times New Roman" w:hAnsi="Palatino Linotype"/>
        </w:rPr>
        <w:t xml:space="preserve"> (edited in</w:t>
      </w:r>
      <w:r w:rsidR="0081527A">
        <w:rPr>
          <w:rFonts w:ascii="Palatino Linotype" w:eastAsia="Times New Roman" w:hAnsi="Palatino Linotype"/>
        </w:rPr>
        <w:t xml:space="preserve"> a simple graphic editor to include edge weights and central node designation</w:t>
      </w:r>
      <w:r w:rsidR="00270F54">
        <w:rPr>
          <w:rFonts w:ascii="Palatino Linotype" w:eastAsia="Times New Roman" w:hAnsi="Palatino Linotype"/>
        </w:rPr>
        <w:t>s</w:t>
      </w:r>
      <w:r w:rsidR="0081527A">
        <w:rPr>
          <w:rFonts w:ascii="Palatino Linotype" w:eastAsia="Times New Roman" w:hAnsi="Palatino Linotype"/>
        </w:rPr>
        <w:t xml:space="preserve">) </w:t>
      </w:r>
      <w:r w:rsidR="00CC1B02" w:rsidRPr="00A21E41">
        <w:rPr>
          <w:rFonts w:ascii="Palatino Linotype" w:eastAsia="Times New Roman" w:hAnsi="Palatino Linotype"/>
        </w:rPr>
        <w:t xml:space="preserve">produced by the </w:t>
      </w:r>
      <w:r w:rsidR="00CC1B02" w:rsidRPr="00A21E41">
        <w:rPr>
          <w:rFonts w:ascii="Palatino Linotype" w:eastAsia="Times New Roman" w:hAnsi="Palatino Linotype"/>
          <w:i/>
          <w:iCs/>
        </w:rPr>
        <w:t>JASP</w:t>
      </w:r>
      <w:r w:rsidR="00CC1B02" w:rsidRPr="00A21E41">
        <w:rPr>
          <w:rFonts w:ascii="Palatino Linotype" w:eastAsia="Times New Roman" w:hAnsi="Palatino Linotype"/>
        </w:rPr>
        <w:t xml:space="preserve"> software are included below</w:t>
      </w:r>
      <w:r w:rsidR="00025BAE" w:rsidRPr="00A21E41">
        <w:rPr>
          <w:rFonts w:ascii="Palatino Linotype" w:eastAsia="Times New Roman" w:hAnsi="Palatino Linotype"/>
        </w:rPr>
        <w:t xml:space="preserve"> </w:t>
      </w:r>
      <w:r w:rsidR="00CF2CF3">
        <w:rPr>
          <w:rFonts w:ascii="Palatino Linotype" w:eastAsia="Times New Roman" w:hAnsi="Palatino Linotype"/>
        </w:rPr>
        <w:t xml:space="preserve">(Figure B.1 and Figure B.2) </w:t>
      </w:r>
      <w:r w:rsidR="00025BAE" w:rsidRPr="00A21E41">
        <w:rPr>
          <w:rFonts w:ascii="Palatino Linotype" w:eastAsia="Times New Roman" w:hAnsi="Palatino Linotype"/>
        </w:rPr>
        <w:t>for comparison purposes</w:t>
      </w:r>
      <w:proofErr w:type="gramStart"/>
      <w:r w:rsidR="00053BA0">
        <w:rPr>
          <w:rFonts w:ascii="Palatino Linotype" w:eastAsia="Times New Roman" w:hAnsi="Palatino Linotype"/>
        </w:rPr>
        <w:t xml:space="preserve">. </w:t>
      </w:r>
      <w:proofErr w:type="gramEnd"/>
      <w:r w:rsidR="00025BAE" w:rsidRPr="00A21E41">
        <w:rPr>
          <w:rFonts w:ascii="Palatino Linotype" w:eastAsia="Times New Roman" w:hAnsi="Palatino Linotype"/>
        </w:rPr>
        <w:t>To create the</w:t>
      </w:r>
      <w:r w:rsidR="00D52545">
        <w:rPr>
          <w:rFonts w:ascii="Palatino Linotype" w:eastAsia="Times New Roman" w:hAnsi="Palatino Linotype"/>
        </w:rPr>
        <w:t xml:space="preserve"> </w:t>
      </w:r>
      <w:r w:rsidR="00CC4135">
        <w:rPr>
          <w:rFonts w:ascii="Palatino Linotype" w:eastAsia="Times New Roman" w:hAnsi="Palatino Linotype"/>
        </w:rPr>
        <w:t xml:space="preserve">more interpretable </w:t>
      </w:r>
      <w:r w:rsidR="00025BAE" w:rsidRPr="00A21E41">
        <w:rPr>
          <w:rFonts w:ascii="Palatino Linotype" w:eastAsia="Times New Roman" w:hAnsi="Palatino Linotype"/>
        </w:rPr>
        <w:t>network figures</w:t>
      </w:r>
      <w:r w:rsidR="00357605">
        <w:rPr>
          <w:rFonts w:ascii="Palatino Linotype" w:eastAsia="Times New Roman" w:hAnsi="Palatino Linotype"/>
        </w:rPr>
        <w:t xml:space="preserve"> in the main text</w:t>
      </w:r>
      <w:r w:rsidR="00025BAE" w:rsidRPr="00A21E41">
        <w:rPr>
          <w:rFonts w:ascii="Palatino Linotype" w:eastAsia="Times New Roman" w:hAnsi="Palatino Linotype"/>
        </w:rPr>
        <w:t>, the following process was used</w:t>
      </w:r>
      <w:r w:rsidR="00D52545">
        <w:rPr>
          <w:rFonts w:ascii="Palatino Linotype" w:eastAsia="Times New Roman" w:hAnsi="Palatino Linotype"/>
        </w:rPr>
        <w:t>.</w:t>
      </w:r>
    </w:p>
    <w:p w14:paraId="2829693D" w14:textId="77777777" w:rsidR="00B8284F" w:rsidRDefault="00FD0F92" w:rsidP="00F83244">
      <w:pPr>
        <w:ind w:firstLine="720"/>
        <w:rPr>
          <w:rFonts w:ascii="Palatino Linotype" w:eastAsia="Times New Roman" w:hAnsi="Palatino Linotype"/>
        </w:rPr>
      </w:pPr>
      <w:r w:rsidRPr="00A21E41">
        <w:rPr>
          <w:rFonts w:ascii="Palatino Linotype" w:eastAsia="Times New Roman" w:hAnsi="Palatino Linotype"/>
        </w:rPr>
        <w:t>T</w:t>
      </w:r>
      <w:r w:rsidR="00336FD7" w:rsidRPr="00A21E41">
        <w:rPr>
          <w:rFonts w:ascii="Palatino Linotype" w:eastAsia="Times New Roman" w:hAnsi="Palatino Linotype"/>
        </w:rPr>
        <w:t xml:space="preserve">he same </w:t>
      </w:r>
      <w:r w:rsidR="00336FD7" w:rsidRPr="00590EDD">
        <w:rPr>
          <w:rFonts w:ascii="Palatino Linotype" w:eastAsia="Times New Roman" w:hAnsi="Palatino Linotype"/>
          <w:i/>
          <w:iCs/>
        </w:rPr>
        <w:t>R</w:t>
      </w:r>
      <w:r w:rsidR="00336FD7" w:rsidRPr="00A21E41">
        <w:rPr>
          <w:rFonts w:ascii="Palatino Linotype" w:eastAsia="Times New Roman" w:hAnsi="Palatino Linotype"/>
        </w:rPr>
        <w:t xml:space="preserve"> packages and options that are used by </w:t>
      </w:r>
      <w:r w:rsidR="00336FD7" w:rsidRPr="00A21E41">
        <w:rPr>
          <w:rFonts w:ascii="Palatino Linotype" w:eastAsia="Times New Roman" w:hAnsi="Palatino Linotype"/>
          <w:i/>
          <w:iCs/>
        </w:rPr>
        <w:t>JASP</w:t>
      </w:r>
      <w:r w:rsidR="00336FD7" w:rsidRPr="00A21E41">
        <w:rPr>
          <w:rFonts w:ascii="Palatino Linotype" w:eastAsia="Times New Roman" w:hAnsi="Palatino Linotype"/>
        </w:rPr>
        <w:t xml:space="preserve"> were run: </w:t>
      </w:r>
      <w:proofErr w:type="spellStart"/>
      <w:r w:rsidR="00336FD7" w:rsidRPr="00A21E41">
        <w:rPr>
          <w:rFonts w:ascii="Palatino Linotype" w:eastAsia="Times New Roman" w:hAnsi="Palatino Linotype"/>
          <w:i/>
          <w:iCs/>
        </w:rPr>
        <w:t>bootnet’s</w:t>
      </w:r>
      <w:proofErr w:type="spellEnd"/>
      <w:r w:rsidR="00336FD7" w:rsidRPr="00A21E41">
        <w:rPr>
          <w:rFonts w:ascii="Palatino Linotype" w:eastAsia="Times New Roman" w:hAnsi="Palatino Linotype"/>
        </w:rPr>
        <w:t xml:space="preserve"> (Epskamp et al., 2018) </w:t>
      </w:r>
      <w:proofErr w:type="spellStart"/>
      <w:r w:rsidR="00336FD7" w:rsidRPr="00A21E41">
        <w:rPr>
          <w:rFonts w:ascii="Palatino Linotype" w:eastAsia="Times New Roman" w:hAnsi="Palatino Linotype"/>
        </w:rPr>
        <w:t>estimateNetwork</w:t>
      </w:r>
      <w:proofErr w:type="spellEnd"/>
      <w:r w:rsidR="00336FD7" w:rsidRPr="00A21E41">
        <w:rPr>
          <w:rFonts w:ascii="Palatino Linotype" w:eastAsia="Times New Roman" w:hAnsi="Palatino Linotype"/>
        </w:rPr>
        <w:t xml:space="preserve"> function with the </w:t>
      </w:r>
      <w:r w:rsidR="00336FD7" w:rsidRPr="00A21E41">
        <w:rPr>
          <w:rFonts w:ascii="Palatino Linotype" w:eastAsia="Times New Roman" w:hAnsi="Palatino Linotype"/>
          <w:i/>
          <w:iCs/>
        </w:rPr>
        <w:t>EBICglasso</w:t>
      </w:r>
      <w:r w:rsidR="00336FD7" w:rsidRPr="00A21E41">
        <w:rPr>
          <w:rFonts w:ascii="Palatino Linotype" w:eastAsia="Times New Roman" w:hAnsi="Palatino Linotype"/>
        </w:rPr>
        <w:t xml:space="preserve"> estimator</w:t>
      </w:r>
      <w:proofErr w:type="gramStart"/>
      <w:r w:rsidR="00336FD7" w:rsidRPr="00A21E41">
        <w:rPr>
          <w:rFonts w:ascii="Palatino Linotype" w:eastAsia="Times New Roman" w:hAnsi="Palatino Linotype"/>
        </w:rPr>
        <w:t xml:space="preserve">. </w:t>
      </w:r>
      <w:proofErr w:type="gramEnd"/>
      <w:r w:rsidR="00336FD7" w:rsidRPr="00A21E41">
        <w:rPr>
          <w:rFonts w:ascii="Palatino Linotype" w:eastAsia="Times New Roman" w:hAnsi="Palatino Linotype"/>
        </w:rPr>
        <w:t xml:space="preserve">As is </w:t>
      </w:r>
      <w:r w:rsidR="00C56B42" w:rsidRPr="00A21E41">
        <w:rPr>
          <w:rFonts w:ascii="Palatino Linotype" w:eastAsia="Times New Roman" w:hAnsi="Palatino Linotype"/>
        </w:rPr>
        <w:t>performed</w:t>
      </w:r>
      <w:r w:rsidR="00336FD7" w:rsidRPr="00A21E41">
        <w:rPr>
          <w:rFonts w:ascii="Palatino Linotype" w:eastAsia="Times New Roman" w:hAnsi="Palatino Linotype"/>
        </w:rPr>
        <w:t xml:space="preserve"> by </w:t>
      </w:r>
      <w:r w:rsidR="00336FD7" w:rsidRPr="00A21E41">
        <w:rPr>
          <w:rFonts w:ascii="Palatino Linotype" w:eastAsia="Times New Roman" w:hAnsi="Palatino Linotype"/>
          <w:i/>
          <w:iCs/>
        </w:rPr>
        <w:t>JASP</w:t>
      </w:r>
      <w:r w:rsidR="00336FD7" w:rsidRPr="00A21E41">
        <w:rPr>
          <w:rFonts w:ascii="Palatino Linotype" w:eastAsia="Times New Roman" w:hAnsi="Palatino Linotype"/>
        </w:rPr>
        <w:t xml:space="preserve">, the graph’s node positions were extracted using the </w:t>
      </w:r>
      <w:r w:rsidR="00336FD7" w:rsidRPr="00A21E41">
        <w:rPr>
          <w:rFonts w:ascii="Palatino Linotype" w:eastAsia="Times New Roman" w:hAnsi="Palatino Linotype"/>
          <w:i/>
          <w:iCs/>
        </w:rPr>
        <w:t>qgraph</w:t>
      </w:r>
      <w:r w:rsidR="00336FD7" w:rsidRPr="00A21E41">
        <w:rPr>
          <w:rFonts w:ascii="Palatino Linotype" w:eastAsia="Times New Roman" w:hAnsi="Palatino Linotype"/>
        </w:rPr>
        <w:t xml:space="preserve"> package (Epskamp et al., 2012) with the spring layout option and processed with the </w:t>
      </w:r>
      <w:proofErr w:type="spellStart"/>
      <w:r w:rsidR="00336FD7" w:rsidRPr="00A21E41">
        <w:rPr>
          <w:rFonts w:ascii="Palatino Linotype" w:eastAsia="Times New Roman" w:hAnsi="Palatino Linotype"/>
          <w:i/>
          <w:iCs/>
        </w:rPr>
        <w:t>tidygraph</w:t>
      </w:r>
      <w:proofErr w:type="spellEnd"/>
      <w:r w:rsidR="00336FD7" w:rsidRPr="00A21E41">
        <w:rPr>
          <w:rFonts w:ascii="Palatino Linotype" w:eastAsia="Times New Roman" w:hAnsi="Palatino Linotype"/>
        </w:rPr>
        <w:t xml:space="preserve"> package (Pedersen, 2022b)</w:t>
      </w:r>
      <w:proofErr w:type="gramStart"/>
      <w:r w:rsidR="00336FD7" w:rsidRPr="00A21E41">
        <w:rPr>
          <w:rFonts w:ascii="Palatino Linotype" w:eastAsia="Times New Roman" w:hAnsi="Palatino Linotype"/>
        </w:rPr>
        <w:t xml:space="preserve">. </w:t>
      </w:r>
      <w:proofErr w:type="gramEnd"/>
      <w:r w:rsidR="00336FD7" w:rsidRPr="00A21E41">
        <w:rPr>
          <w:rFonts w:ascii="Palatino Linotype" w:eastAsia="Times New Roman" w:hAnsi="Palatino Linotype"/>
        </w:rPr>
        <w:t xml:space="preserve">The plots were made with the </w:t>
      </w:r>
      <w:r w:rsidR="00336FD7" w:rsidRPr="00A21E41">
        <w:rPr>
          <w:rFonts w:ascii="Palatino Linotype" w:eastAsia="Times New Roman" w:hAnsi="Palatino Linotype"/>
          <w:i/>
          <w:iCs/>
        </w:rPr>
        <w:t>ggplot2</w:t>
      </w:r>
      <w:r w:rsidR="00336FD7" w:rsidRPr="00A21E41">
        <w:rPr>
          <w:rFonts w:ascii="Palatino Linotype" w:eastAsia="Times New Roman" w:hAnsi="Palatino Linotype"/>
        </w:rPr>
        <w:t xml:space="preserve"> package (Wickham, 2016) as well as two </w:t>
      </w:r>
      <w:r w:rsidR="00336FD7" w:rsidRPr="00A21E41">
        <w:rPr>
          <w:rFonts w:ascii="Palatino Linotype" w:eastAsia="Times New Roman" w:hAnsi="Palatino Linotype"/>
          <w:i/>
          <w:iCs/>
        </w:rPr>
        <w:t>ggplot2</w:t>
      </w:r>
      <w:r w:rsidR="00336FD7" w:rsidRPr="00A21E41">
        <w:rPr>
          <w:rFonts w:ascii="Palatino Linotype" w:eastAsia="Times New Roman" w:hAnsi="Palatino Linotype"/>
        </w:rPr>
        <w:t xml:space="preserve"> extensions, </w:t>
      </w:r>
      <w:proofErr w:type="spellStart"/>
      <w:r w:rsidR="00336FD7" w:rsidRPr="00A21E41">
        <w:rPr>
          <w:rFonts w:ascii="Palatino Linotype" w:eastAsia="Times New Roman" w:hAnsi="Palatino Linotype"/>
          <w:i/>
          <w:iCs/>
        </w:rPr>
        <w:t>ggforce</w:t>
      </w:r>
      <w:proofErr w:type="spellEnd"/>
      <w:r w:rsidR="00336FD7" w:rsidRPr="00A21E41">
        <w:rPr>
          <w:rFonts w:ascii="Palatino Linotype" w:eastAsia="Times New Roman" w:hAnsi="Palatino Linotype"/>
        </w:rPr>
        <w:t xml:space="preserve"> (Pedersen, 2022a) and </w:t>
      </w:r>
      <w:proofErr w:type="spellStart"/>
      <w:r w:rsidR="00336FD7" w:rsidRPr="00A21E41">
        <w:rPr>
          <w:rFonts w:ascii="Palatino Linotype" w:eastAsia="Times New Roman" w:hAnsi="Palatino Linotype"/>
          <w:i/>
          <w:iCs/>
        </w:rPr>
        <w:t>ggtext</w:t>
      </w:r>
      <w:proofErr w:type="spellEnd"/>
      <w:r w:rsidR="00336FD7" w:rsidRPr="00A21E41">
        <w:rPr>
          <w:rFonts w:ascii="Palatino Linotype" w:eastAsia="Times New Roman" w:hAnsi="Palatino Linotype"/>
        </w:rPr>
        <w:t xml:space="preserve"> (Wilke, 2020).</w:t>
      </w:r>
      <w:r w:rsidR="00C556EF">
        <w:rPr>
          <w:rFonts w:ascii="Palatino Linotype" w:eastAsia="Times New Roman" w:hAnsi="Palatino Linotype"/>
        </w:rPr>
        <w:t xml:space="preserve"> </w:t>
      </w:r>
    </w:p>
    <w:p w14:paraId="289A1AE0" w14:textId="0928CD8F" w:rsidR="00AE509A" w:rsidRDefault="00C556EF" w:rsidP="00AE509A">
      <w:pPr>
        <w:ind w:firstLine="720"/>
        <w:rPr>
          <w:rFonts w:ascii="Palatino Linotype" w:eastAsia="Times New Roman" w:hAnsi="Palatino Linotype"/>
        </w:rPr>
      </w:pPr>
      <w:r>
        <w:rPr>
          <w:rFonts w:ascii="Palatino Linotype" w:eastAsia="Times New Roman" w:hAnsi="Palatino Linotype"/>
        </w:rPr>
        <w:t xml:space="preserve">The reader </w:t>
      </w:r>
      <w:r w:rsidR="00D52545">
        <w:rPr>
          <w:rFonts w:ascii="Palatino Linotype" w:eastAsia="Times New Roman" w:hAnsi="Palatino Linotype"/>
        </w:rPr>
        <w:t xml:space="preserve">will note </w:t>
      </w:r>
      <w:r>
        <w:rPr>
          <w:rFonts w:ascii="Palatino Linotype" w:eastAsia="Times New Roman" w:hAnsi="Palatino Linotype"/>
        </w:rPr>
        <w:t>that Figures B.1 and B</w:t>
      </w:r>
      <w:r w:rsidR="00564DEB">
        <w:rPr>
          <w:rFonts w:ascii="Palatino Linotype" w:eastAsia="Times New Roman" w:hAnsi="Palatino Linotype"/>
        </w:rPr>
        <w:t>.</w:t>
      </w:r>
      <w:r>
        <w:rPr>
          <w:rFonts w:ascii="Palatino Linotype" w:eastAsia="Times New Roman" w:hAnsi="Palatino Linotype"/>
        </w:rPr>
        <w:t xml:space="preserve">2 are much more visually complex </w:t>
      </w:r>
      <w:r w:rsidR="00535703">
        <w:rPr>
          <w:rFonts w:ascii="Palatino Linotype" w:eastAsia="Times New Roman" w:hAnsi="Palatino Linotype"/>
        </w:rPr>
        <w:t xml:space="preserve">as </w:t>
      </w:r>
      <w:r w:rsidR="00405E93">
        <w:rPr>
          <w:rFonts w:ascii="Palatino Linotype" w:eastAsia="Times New Roman" w:hAnsi="Palatino Linotype"/>
        </w:rPr>
        <w:t>the</w:t>
      </w:r>
      <w:r w:rsidR="00535703">
        <w:rPr>
          <w:rFonts w:ascii="Palatino Linotype" w:eastAsia="Times New Roman" w:hAnsi="Palatino Linotype"/>
        </w:rPr>
        <w:t>y</w:t>
      </w:r>
      <w:r>
        <w:rPr>
          <w:rFonts w:ascii="Palatino Linotype" w:eastAsia="Times New Roman" w:hAnsi="Palatino Linotype"/>
        </w:rPr>
        <w:t xml:space="preserve"> inclu</w:t>
      </w:r>
      <w:r w:rsidR="00C5199E">
        <w:rPr>
          <w:rFonts w:ascii="Palatino Linotype" w:eastAsia="Times New Roman" w:hAnsi="Palatino Linotype"/>
        </w:rPr>
        <w:t>de all</w:t>
      </w:r>
      <w:r>
        <w:rPr>
          <w:rFonts w:ascii="Palatino Linotype" w:eastAsia="Times New Roman" w:hAnsi="Palatino Linotype"/>
        </w:rPr>
        <w:t xml:space="preserve"> </w:t>
      </w:r>
      <w:r w:rsidR="001B552E">
        <w:rPr>
          <w:rFonts w:ascii="Palatino Linotype" w:eastAsia="Times New Roman" w:hAnsi="Palatino Linotype"/>
        </w:rPr>
        <w:t xml:space="preserve">network edges determined to be significant </w:t>
      </w:r>
      <w:r w:rsidR="00405E93">
        <w:rPr>
          <w:rFonts w:ascii="Palatino Linotype" w:eastAsia="Times New Roman" w:hAnsi="Palatino Linotype"/>
        </w:rPr>
        <w:t xml:space="preserve">and reported </w:t>
      </w:r>
      <w:r w:rsidR="001B552E">
        <w:rPr>
          <w:rFonts w:ascii="Palatino Linotype" w:eastAsia="Times New Roman" w:hAnsi="Palatino Linotype"/>
        </w:rPr>
        <w:t xml:space="preserve">as per the </w:t>
      </w:r>
      <w:r w:rsidR="001B552E" w:rsidRPr="00C76157">
        <w:rPr>
          <w:rFonts w:ascii="Palatino Linotype" w:eastAsia="Times New Roman" w:hAnsi="Palatino Linotype"/>
          <w:i/>
          <w:iCs/>
        </w:rPr>
        <w:t>JASP</w:t>
      </w:r>
      <w:r w:rsidR="001B552E">
        <w:rPr>
          <w:rFonts w:ascii="Palatino Linotype" w:eastAsia="Times New Roman" w:hAnsi="Palatino Linotype"/>
        </w:rPr>
        <w:t xml:space="preserve"> weight matrix</w:t>
      </w:r>
      <w:proofErr w:type="gramStart"/>
      <w:r w:rsidR="00053BA0">
        <w:rPr>
          <w:rFonts w:ascii="Palatino Linotype" w:eastAsia="Times New Roman" w:hAnsi="Palatino Linotype"/>
        </w:rPr>
        <w:t xml:space="preserve">. </w:t>
      </w:r>
      <w:proofErr w:type="gramEnd"/>
      <w:r w:rsidR="00C902A6">
        <w:rPr>
          <w:rFonts w:ascii="Palatino Linotype" w:eastAsia="Times New Roman" w:hAnsi="Palatino Linotype"/>
        </w:rPr>
        <w:t xml:space="preserve">This can be problematic </w:t>
      </w:r>
      <w:r w:rsidR="00C76157">
        <w:rPr>
          <w:rFonts w:ascii="Palatino Linotype" w:eastAsia="Times New Roman" w:hAnsi="Palatino Linotype"/>
        </w:rPr>
        <w:t xml:space="preserve">in </w:t>
      </w:r>
      <w:r w:rsidR="00966DE1">
        <w:rPr>
          <w:rFonts w:ascii="Palatino Linotype" w:eastAsia="Times New Roman" w:hAnsi="Palatino Linotype"/>
        </w:rPr>
        <w:t>large sample</w:t>
      </w:r>
      <w:r w:rsidR="00564DEB">
        <w:rPr>
          <w:rFonts w:ascii="Palatino Linotype" w:eastAsia="Times New Roman" w:hAnsi="Palatino Linotype"/>
        </w:rPr>
        <w:t>s</w:t>
      </w:r>
      <w:r w:rsidR="00966DE1">
        <w:rPr>
          <w:rFonts w:ascii="Palatino Linotype" w:eastAsia="Times New Roman" w:hAnsi="Palatino Linotype"/>
        </w:rPr>
        <w:t xml:space="preserve"> (</w:t>
      </w:r>
      <w:r w:rsidR="00564DEB">
        <w:rPr>
          <w:rFonts w:ascii="Palatino Linotype" w:eastAsia="Times New Roman" w:hAnsi="Palatino Linotype"/>
        </w:rPr>
        <w:t xml:space="preserve">current </w:t>
      </w:r>
      <w:r w:rsidR="00966DE1" w:rsidRPr="00564DEB">
        <w:rPr>
          <w:rFonts w:ascii="Palatino Linotype" w:eastAsia="Times New Roman" w:hAnsi="Palatino Linotype"/>
          <w:i/>
          <w:iCs/>
        </w:rPr>
        <w:t>n</w:t>
      </w:r>
      <w:r w:rsidR="00EF2723">
        <w:rPr>
          <w:rFonts w:ascii="Palatino Linotype" w:eastAsia="Times New Roman" w:hAnsi="Palatino Linotype"/>
          <w:i/>
          <w:iCs/>
        </w:rPr>
        <w:t xml:space="preserve"> </w:t>
      </w:r>
      <w:r w:rsidR="00966DE1">
        <w:rPr>
          <w:rFonts w:ascii="Palatino Linotype" w:eastAsia="Times New Roman" w:hAnsi="Palatino Linotype"/>
        </w:rPr>
        <w:t>=</w:t>
      </w:r>
      <w:r w:rsidR="00EF2723">
        <w:rPr>
          <w:rFonts w:ascii="Palatino Linotype" w:eastAsia="Times New Roman" w:hAnsi="Palatino Linotype"/>
        </w:rPr>
        <w:t xml:space="preserve"> </w:t>
      </w:r>
      <w:r w:rsidR="00966DE1">
        <w:rPr>
          <w:rFonts w:ascii="Palatino Linotype" w:eastAsia="Times New Roman" w:hAnsi="Palatino Linotype"/>
        </w:rPr>
        <w:t>3,258) due to the high power of the statistical analysis</w:t>
      </w:r>
      <w:proofErr w:type="gramStart"/>
      <w:r w:rsidR="00053BA0">
        <w:rPr>
          <w:rFonts w:ascii="Palatino Linotype" w:eastAsia="Times New Roman" w:hAnsi="Palatino Linotype"/>
        </w:rPr>
        <w:t xml:space="preserve">. </w:t>
      </w:r>
      <w:proofErr w:type="gramEnd"/>
      <w:r w:rsidR="00966DE1">
        <w:rPr>
          <w:rFonts w:ascii="Palatino Linotype" w:eastAsia="Times New Roman" w:hAnsi="Palatino Linotype"/>
        </w:rPr>
        <w:t xml:space="preserve">As reported in </w:t>
      </w:r>
      <w:r w:rsidR="00FA1ABB">
        <w:rPr>
          <w:rFonts w:ascii="Palatino Linotype" w:eastAsia="Times New Roman" w:hAnsi="Palatino Linotype"/>
        </w:rPr>
        <w:t>the main text</w:t>
      </w:r>
      <w:r w:rsidR="003F022E">
        <w:rPr>
          <w:rFonts w:ascii="Palatino Linotype" w:eastAsia="Times New Roman" w:hAnsi="Palatino Linotype"/>
        </w:rPr>
        <w:t xml:space="preserve"> (and </w:t>
      </w:r>
      <w:r w:rsidR="00D041DD">
        <w:rPr>
          <w:rFonts w:ascii="Palatino Linotype" w:eastAsia="Times New Roman" w:hAnsi="Palatino Linotype"/>
        </w:rPr>
        <w:t>illustrated</w:t>
      </w:r>
      <w:r w:rsidR="003F022E">
        <w:rPr>
          <w:rFonts w:ascii="Palatino Linotype" w:eastAsia="Times New Roman" w:hAnsi="Palatino Linotype"/>
        </w:rPr>
        <w:t xml:space="preserve"> in </w:t>
      </w:r>
      <w:r w:rsidR="003F022E" w:rsidRPr="003F022E">
        <w:rPr>
          <w:rFonts w:ascii="Palatino Linotype" w:eastAsia="Times New Roman" w:hAnsi="Palatino Linotype"/>
          <w:i/>
          <w:iCs/>
        </w:rPr>
        <w:t xml:space="preserve">Supplementary Appendix Material </w:t>
      </w:r>
      <w:r w:rsidR="00D041DD">
        <w:rPr>
          <w:rFonts w:ascii="Palatino Linotype" w:eastAsia="Times New Roman" w:hAnsi="Palatino Linotype"/>
          <w:i/>
          <w:iCs/>
        </w:rPr>
        <w:t>C, Figure C.1</w:t>
      </w:r>
      <w:r w:rsidR="003F022E">
        <w:rPr>
          <w:rFonts w:ascii="Palatino Linotype" w:eastAsia="Times New Roman" w:hAnsi="Palatino Linotype"/>
        </w:rPr>
        <w:t>)</w:t>
      </w:r>
      <w:r w:rsidR="00A769AE">
        <w:rPr>
          <w:rFonts w:ascii="Palatino Linotype" w:eastAsia="Times New Roman" w:hAnsi="Palatino Linotype"/>
        </w:rPr>
        <w:t xml:space="preserve">, </w:t>
      </w:r>
      <w:r w:rsidR="00F40B81">
        <w:rPr>
          <w:rFonts w:ascii="Palatino Linotype" w:eastAsia="Times New Roman" w:hAnsi="Palatino Linotype"/>
        </w:rPr>
        <w:t xml:space="preserve">78% (149 of 190) </w:t>
      </w:r>
      <w:r w:rsidR="00A43C1A">
        <w:rPr>
          <w:rFonts w:ascii="Palatino Linotype" w:eastAsia="Times New Roman" w:hAnsi="Palatino Linotype"/>
        </w:rPr>
        <w:t xml:space="preserve">of the possible edges </w:t>
      </w:r>
      <w:r w:rsidR="00A769AE">
        <w:rPr>
          <w:rFonts w:ascii="Palatino Linotype" w:eastAsia="Times New Roman" w:hAnsi="Palatino Linotype"/>
        </w:rPr>
        <w:t xml:space="preserve">were identified as </w:t>
      </w:r>
      <w:r w:rsidR="0017780E">
        <w:rPr>
          <w:rFonts w:ascii="Palatino Linotype" w:eastAsia="Times New Roman" w:hAnsi="Palatino Linotype"/>
        </w:rPr>
        <w:t xml:space="preserve">being </w:t>
      </w:r>
      <w:r w:rsidR="00AE509A">
        <w:rPr>
          <w:rFonts w:ascii="Palatino Linotype" w:eastAsia="Times New Roman" w:hAnsi="Palatino Linotype"/>
        </w:rPr>
        <w:t xml:space="preserve">non-zero.  </w:t>
      </w:r>
      <w:r w:rsidR="00AE509A">
        <w:rPr>
          <w:rFonts w:ascii="Palatino Linotype" w:eastAsia="Calibri" w:hAnsi="Palatino Linotype" w:cs="Calibri"/>
        </w:rPr>
        <w:t>A</w:t>
      </w:r>
      <w:r w:rsidR="00AE509A" w:rsidRPr="00AE509A">
        <w:rPr>
          <w:rFonts w:ascii="Palatino Linotype" w:eastAsia="Calibri" w:hAnsi="Palatino Linotype" w:cs="Calibri"/>
        </w:rPr>
        <w:t xml:space="preserve">pproximately 25% of the edge weights were zero and approximately 50% of the edge weights were </w:t>
      </w:r>
      <w:r w:rsidR="00AE509A">
        <w:rPr>
          <w:rFonts w:ascii="Palatino Linotype" w:eastAsia="Calibri" w:hAnsi="Palatino Linotype" w:cs="Calibri"/>
        </w:rPr>
        <w:t xml:space="preserve">zero or were non-zero and </w:t>
      </w:r>
      <w:r w:rsidR="00AE509A" w:rsidRPr="00AE509A">
        <w:rPr>
          <w:rFonts w:ascii="Palatino Linotype" w:eastAsia="Calibri" w:hAnsi="Palatino Linotype" w:cs="Calibri"/>
        </w:rPr>
        <w:t>equal to or less than 0.05</w:t>
      </w:r>
      <w:r w:rsidR="00AE509A">
        <w:rPr>
          <w:rFonts w:ascii="Palatino Linotype" w:eastAsia="Calibri" w:hAnsi="Palatino Linotype" w:cs="Calibri"/>
        </w:rPr>
        <w:t xml:space="preserve"> .  </w:t>
      </w:r>
      <w:r w:rsidR="00552EC9">
        <w:rPr>
          <w:rFonts w:ascii="Palatino Linotype" w:eastAsia="Times New Roman" w:hAnsi="Palatino Linotype"/>
        </w:rPr>
        <w:t>Including</w:t>
      </w:r>
      <w:r w:rsidR="004A65D2">
        <w:rPr>
          <w:rFonts w:ascii="Palatino Linotype" w:eastAsia="Times New Roman" w:hAnsi="Palatino Linotype"/>
        </w:rPr>
        <w:t xml:space="preserve"> </w:t>
      </w:r>
      <w:r w:rsidR="00761C53">
        <w:rPr>
          <w:rFonts w:ascii="Palatino Linotype" w:eastAsia="Times New Roman" w:hAnsi="Palatino Linotype"/>
        </w:rPr>
        <w:t xml:space="preserve">such </w:t>
      </w:r>
      <w:proofErr w:type="gramStart"/>
      <w:r w:rsidR="00761C53">
        <w:rPr>
          <w:rFonts w:ascii="Palatino Linotype" w:eastAsia="Times New Roman" w:hAnsi="Palatino Linotype"/>
        </w:rPr>
        <w:t>a large number of</w:t>
      </w:r>
      <w:proofErr w:type="gramEnd"/>
      <w:r w:rsidR="004A65D2">
        <w:rPr>
          <w:rFonts w:ascii="Palatino Linotype" w:eastAsia="Times New Roman" w:hAnsi="Palatino Linotype"/>
        </w:rPr>
        <w:t xml:space="preserve"> </w:t>
      </w:r>
      <w:r w:rsidR="00932519">
        <w:rPr>
          <w:rFonts w:ascii="Palatino Linotype" w:eastAsia="Times New Roman" w:hAnsi="Palatino Linotype"/>
        </w:rPr>
        <w:t xml:space="preserve">negligible </w:t>
      </w:r>
      <w:r w:rsidR="004A65D2">
        <w:rPr>
          <w:rFonts w:ascii="Palatino Linotype" w:eastAsia="Times New Roman" w:hAnsi="Palatino Linotype"/>
        </w:rPr>
        <w:t xml:space="preserve">edge </w:t>
      </w:r>
      <w:r w:rsidR="00932519">
        <w:rPr>
          <w:rFonts w:ascii="Palatino Linotype" w:eastAsia="Times New Roman" w:hAnsi="Palatino Linotype"/>
        </w:rPr>
        <w:t>weights produce</w:t>
      </w:r>
      <w:r w:rsidR="00D40416">
        <w:rPr>
          <w:rFonts w:ascii="Palatino Linotype" w:eastAsia="Times New Roman" w:hAnsi="Palatino Linotype"/>
        </w:rPr>
        <w:t>d</w:t>
      </w:r>
      <w:r w:rsidR="00932519">
        <w:rPr>
          <w:rFonts w:ascii="Palatino Linotype" w:eastAsia="Times New Roman" w:hAnsi="Palatino Linotype"/>
        </w:rPr>
        <w:t xml:space="preserve"> the much more</w:t>
      </w:r>
      <w:r w:rsidR="0046645C">
        <w:rPr>
          <w:rFonts w:ascii="Palatino Linotype" w:eastAsia="Times New Roman" w:hAnsi="Palatino Linotype"/>
        </w:rPr>
        <w:t xml:space="preserve"> complex</w:t>
      </w:r>
      <w:r w:rsidR="00B12784">
        <w:rPr>
          <w:rFonts w:ascii="Palatino Linotype" w:eastAsia="Times New Roman" w:hAnsi="Palatino Linotype"/>
        </w:rPr>
        <w:t xml:space="preserve"> visual networks </w:t>
      </w:r>
      <w:r w:rsidR="00552C13">
        <w:rPr>
          <w:rFonts w:ascii="Palatino Linotype" w:eastAsia="Times New Roman" w:hAnsi="Palatino Linotype"/>
        </w:rPr>
        <w:t>in</w:t>
      </w:r>
      <w:r w:rsidR="004737D5">
        <w:rPr>
          <w:rFonts w:ascii="Palatino Linotype" w:eastAsia="Times New Roman" w:hAnsi="Palatino Linotype"/>
        </w:rPr>
        <w:t xml:space="preserve"> </w:t>
      </w:r>
      <w:r w:rsidR="0046645C">
        <w:rPr>
          <w:rFonts w:ascii="Palatino Linotype" w:eastAsia="Times New Roman" w:hAnsi="Palatino Linotype"/>
        </w:rPr>
        <w:t>Figures B.1 and B.2</w:t>
      </w:r>
      <w:r w:rsidR="00053BA0">
        <w:rPr>
          <w:rFonts w:ascii="Palatino Linotype" w:eastAsia="Times New Roman" w:hAnsi="Palatino Linotype"/>
        </w:rPr>
        <w:t xml:space="preserve">. </w:t>
      </w:r>
      <w:r w:rsidR="0046645C">
        <w:rPr>
          <w:rFonts w:ascii="Palatino Linotype" w:eastAsia="Times New Roman" w:hAnsi="Palatino Linotype"/>
        </w:rPr>
        <w:t xml:space="preserve">Thus, </w:t>
      </w:r>
      <w:r w:rsidR="00F83244">
        <w:rPr>
          <w:rFonts w:ascii="Palatino Linotype" w:eastAsia="Times New Roman" w:hAnsi="Palatino Linotype"/>
        </w:rPr>
        <w:t>to</w:t>
      </w:r>
      <w:r w:rsidR="0046645C">
        <w:rPr>
          <w:rFonts w:ascii="Palatino Linotype" w:eastAsia="Times New Roman" w:hAnsi="Palatino Linotype"/>
        </w:rPr>
        <w:t xml:space="preserve"> “see the </w:t>
      </w:r>
      <w:r w:rsidR="00F83244">
        <w:rPr>
          <w:rFonts w:ascii="Palatino Linotype" w:eastAsia="Times New Roman" w:hAnsi="Palatino Linotype"/>
        </w:rPr>
        <w:t>forest</w:t>
      </w:r>
      <w:r w:rsidR="0046645C">
        <w:rPr>
          <w:rFonts w:ascii="Palatino Linotype" w:eastAsia="Times New Roman" w:hAnsi="Palatino Linotype"/>
        </w:rPr>
        <w:t xml:space="preserve"> from the trees,” all trivial edges were “faded out” </w:t>
      </w:r>
      <w:r w:rsidR="00385652">
        <w:rPr>
          <w:rFonts w:ascii="Palatino Linotype" w:eastAsia="Times New Roman" w:hAnsi="Palatino Linotype"/>
        </w:rPr>
        <w:t>as per the criterion mentioned above</w:t>
      </w:r>
      <w:proofErr w:type="gramStart"/>
      <w:r w:rsidR="00053BA0">
        <w:rPr>
          <w:rFonts w:ascii="Palatino Linotype" w:eastAsia="Times New Roman" w:hAnsi="Palatino Linotype"/>
        </w:rPr>
        <w:t xml:space="preserve">. </w:t>
      </w:r>
      <w:proofErr w:type="gramEnd"/>
      <w:r w:rsidR="00385652">
        <w:rPr>
          <w:rFonts w:ascii="Palatino Linotype" w:eastAsia="Times New Roman" w:hAnsi="Palatino Linotype"/>
        </w:rPr>
        <w:t xml:space="preserve">This produced </w:t>
      </w:r>
      <w:r w:rsidR="00083E05">
        <w:rPr>
          <w:rFonts w:ascii="Palatino Linotype" w:eastAsia="Times New Roman" w:hAnsi="Palatino Linotype"/>
        </w:rPr>
        <w:t xml:space="preserve">the </w:t>
      </w:r>
      <w:r w:rsidR="00385652">
        <w:rPr>
          <w:rFonts w:ascii="Palatino Linotype" w:eastAsia="Times New Roman" w:hAnsi="Palatino Linotype"/>
        </w:rPr>
        <w:t xml:space="preserve">less visibly complex and more interpretable </w:t>
      </w:r>
      <w:r w:rsidR="00083E05">
        <w:rPr>
          <w:rFonts w:ascii="Palatino Linotype" w:eastAsia="Times New Roman" w:hAnsi="Palatino Linotype"/>
        </w:rPr>
        <w:t>Figures 1 and 2 in the main text.</w:t>
      </w:r>
    </w:p>
    <w:p w14:paraId="3A5790F4" w14:textId="189639F4" w:rsidR="00EC57D3" w:rsidRPr="004318A9" w:rsidRDefault="00CF2CF3" w:rsidP="00F83244">
      <w:pPr>
        <w:ind w:firstLine="720"/>
        <w:rPr>
          <w:rFonts w:ascii="Palatino Linotype" w:hAnsi="Palatino Linotype"/>
          <w:b/>
          <w:bCs/>
        </w:rPr>
      </w:pPr>
      <w:r>
        <w:rPr>
          <w:rFonts w:ascii="Palatino Linotype" w:eastAsia="Times New Roman" w:hAnsi="Palatino Linotype"/>
        </w:rPr>
        <w:t xml:space="preserve">All other supplementary network </w:t>
      </w:r>
      <w:r w:rsidR="00396810">
        <w:rPr>
          <w:rFonts w:ascii="Palatino Linotype" w:eastAsia="Times New Roman" w:hAnsi="Palatino Linotype"/>
        </w:rPr>
        <w:t>model figures described</w:t>
      </w:r>
      <w:r w:rsidR="00083E05">
        <w:rPr>
          <w:rFonts w:ascii="Palatino Linotype" w:eastAsia="Times New Roman" w:hAnsi="Palatino Linotype"/>
        </w:rPr>
        <w:t xml:space="preserve"> </w:t>
      </w:r>
      <w:r w:rsidR="0088054E">
        <w:rPr>
          <w:rFonts w:ascii="Palatino Linotype" w:eastAsia="Times New Roman" w:hAnsi="Palatino Linotype"/>
        </w:rPr>
        <w:t>presented in this</w:t>
      </w:r>
      <w:r w:rsidR="00F83244">
        <w:rPr>
          <w:rFonts w:ascii="Palatino Linotype" w:eastAsia="Times New Roman" w:hAnsi="Palatino Linotype"/>
        </w:rPr>
        <w:t xml:space="preserve"> </w:t>
      </w:r>
      <w:r w:rsidR="0088054E" w:rsidRPr="00BD1398">
        <w:rPr>
          <w:rFonts w:ascii="Palatino Linotype" w:eastAsia="Times New Roman" w:hAnsi="Palatino Linotype"/>
          <w:i/>
          <w:iCs/>
        </w:rPr>
        <w:t>Supplementary Materials Appendix</w:t>
      </w:r>
      <w:r w:rsidR="00A00A90">
        <w:rPr>
          <w:rFonts w:ascii="Palatino Linotype" w:eastAsia="Times New Roman" w:hAnsi="Palatino Linotype"/>
        </w:rPr>
        <w:t xml:space="preserve"> are </w:t>
      </w:r>
      <w:r w:rsidR="00396810">
        <w:rPr>
          <w:rFonts w:ascii="Palatino Linotype" w:eastAsia="Times New Roman" w:hAnsi="Palatino Linotype"/>
        </w:rPr>
        <w:t xml:space="preserve">presented in the raw unedited </w:t>
      </w:r>
      <w:r w:rsidR="00396810" w:rsidRPr="0022299A">
        <w:rPr>
          <w:rFonts w:ascii="Palatino Linotype" w:eastAsia="Times New Roman" w:hAnsi="Palatino Linotype"/>
          <w:i/>
          <w:iCs/>
        </w:rPr>
        <w:t>JASP</w:t>
      </w:r>
      <w:r w:rsidR="00396810">
        <w:rPr>
          <w:rFonts w:ascii="Palatino Linotype" w:eastAsia="Times New Roman" w:hAnsi="Palatino Linotype"/>
        </w:rPr>
        <w:t xml:space="preserve"> format</w:t>
      </w:r>
      <w:r w:rsidR="00A00A90">
        <w:rPr>
          <w:rFonts w:ascii="Palatino Linotype" w:eastAsia="Times New Roman" w:hAnsi="Palatino Linotype"/>
        </w:rPr>
        <w:t>.</w:t>
      </w:r>
    </w:p>
    <w:p w14:paraId="5CFA9D42" w14:textId="77777777" w:rsidR="00EC57D3" w:rsidRDefault="00EC57D3" w:rsidP="00267CAB">
      <w:pPr>
        <w:spacing w:after="240" w:line="360" w:lineRule="auto"/>
        <w:rPr>
          <w:rFonts w:ascii="Palatino Linotype" w:eastAsia="Palatino Linotype" w:hAnsi="Palatino Linotype" w:cs="Palatino Linotype"/>
          <w:b/>
        </w:rPr>
      </w:pPr>
    </w:p>
    <w:p w14:paraId="7D1C86BB" w14:textId="77777777" w:rsidR="00EC57D3" w:rsidRDefault="00EC57D3" w:rsidP="00267CAB">
      <w:pPr>
        <w:spacing w:after="240" w:line="360" w:lineRule="auto"/>
        <w:rPr>
          <w:rFonts w:ascii="Palatino Linotype" w:eastAsia="Palatino Linotype" w:hAnsi="Palatino Linotype" w:cs="Palatino Linotype"/>
          <w:b/>
        </w:rPr>
      </w:pPr>
    </w:p>
    <w:p w14:paraId="53FCB6CA" w14:textId="77777777" w:rsidR="00EC57D3" w:rsidRDefault="00EC57D3" w:rsidP="00267CAB">
      <w:pPr>
        <w:spacing w:after="240" w:line="360" w:lineRule="auto"/>
        <w:rPr>
          <w:rFonts w:ascii="Palatino Linotype" w:eastAsia="Palatino Linotype" w:hAnsi="Palatino Linotype" w:cs="Palatino Linotype"/>
          <w:b/>
        </w:rPr>
      </w:pPr>
    </w:p>
    <w:p w14:paraId="2EBADE87" w14:textId="77777777" w:rsidR="00EC57D3" w:rsidRDefault="00EC57D3" w:rsidP="00267CAB">
      <w:pPr>
        <w:spacing w:after="240" w:line="360" w:lineRule="auto"/>
        <w:rPr>
          <w:rFonts w:ascii="Palatino Linotype" w:eastAsia="Palatino Linotype" w:hAnsi="Palatino Linotype" w:cs="Palatino Linotype"/>
          <w:b/>
        </w:rPr>
      </w:pPr>
    </w:p>
    <w:p w14:paraId="60014619" w14:textId="5C351B12" w:rsidR="00267CAB" w:rsidRPr="00267CAB" w:rsidRDefault="00267CAB" w:rsidP="00267CAB">
      <w:pPr>
        <w:spacing w:after="240" w:line="360" w:lineRule="auto"/>
        <w:rPr>
          <w:rFonts w:ascii="Palatino Linotype" w:eastAsia="Palatino Linotype" w:hAnsi="Palatino Linotype" w:cs="Palatino Linotype"/>
          <w:b/>
        </w:rPr>
      </w:pPr>
      <w:r w:rsidRPr="00267CAB">
        <w:rPr>
          <w:rFonts w:ascii="Palatino Linotype" w:eastAsia="Palatino Linotype" w:hAnsi="Palatino Linotype" w:cs="Palatino Linotype"/>
          <w:b/>
        </w:rPr>
        <w:lastRenderedPageBreak/>
        <w:t xml:space="preserve">Figure </w:t>
      </w:r>
      <w:r>
        <w:rPr>
          <w:rFonts w:ascii="Palatino Linotype" w:eastAsia="Palatino Linotype" w:hAnsi="Palatino Linotype" w:cs="Palatino Linotype"/>
          <w:b/>
        </w:rPr>
        <w:t>B.</w:t>
      </w:r>
      <w:r w:rsidRPr="00267CAB">
        <w:rPr>
          <w:rFonts w:ascii="Palatino Linotype" w:eastAsia="Palatino Linotype" w:hAnsi="Palatino Linotype" w:cs="Palatino Linotype"/>
          <w:b/>
        </w:rPr>
        <w:t>1</w:t>
      </w:r>
    </w:p>
    <w:p w14:paraId="21D47641" w14:textId="59809BD8" w:rsidR="00267CAB" w:rsidRPr="00072457" w:rsidRDefault="00267CAB" w:rsidP="00072457">
      <w:pPr>
        <w:spacing w:after="240" w:line="360" w:lineRule="auto"/>
        <w:rPr>
          <w:rFonts w:ascii="Palatino Linotype" w:eastAsia="Palatino Linotype" w:hAnsi="Palatino Linotype" w:cs="Palatino Linotype"/>
          <w:b/>
        </w:rPr>
      </w:pPr>
      <w:r w:rsidRPr="00267CAB">
        <w:rPr>
          <w:rFonts w:ascii="Palatino Linotype" w:eastAsia="Palatino Linotype" w:hAnsi="Palatino Linotype" w:cs="Palatino Linotype"/>
          <w:i/>
        </w:rPr>
        <w:t>Weighted undirected network structure of 20 select WJ IV measures of seven broad CHC ability domains in the primary network model</w:t>
      </w:r>
      <w:r w:rsidR="00AC54BA">
        <w:rPr>
          <w:rFonts w:ascii="Palatino Linotype" w:eastAsia="Palatino Linotype" w:hAnsi="Palatino Linotype" w:cs="Palatino Linotype"/>
          <w:i/>
        </w:rPr>
        <w:t xml:space="preserve">:  </w:t>
      </w:r>
      <w:r>
        <w:rPr>
          <w:rFonts w:ascii="Palatino Linotype" w:eastAsia="Palatino Linotype" w:hAnsi="Palatino Linotype" w:cs="Palatino Linotype"/>
          <w:i/>
        </w:rPr>
        <w:t xml:space="preserve">JASP produced network model </w:t>
      </w:r>
      <w:r w:rsidR="00AC54BA">
        <w:rPr>
          <w:rFonts w:ascii="Palatino Linotype" w:eastAsia="Palatino Linotype" w:hAnsi="Palatino Linotype" w:cs="Palatino Linotype"/>
          <w:i/>
        </w:rPr>
        <w:t>edited to include</w:t>
      </w:r>
      <w:r>
        <w:rPr>
          <w:rFonts w:ascii="Palatino Linotype" w:eastAsia="Palatino Linotype" w:hAnsi="Palatino Linotype" w:cs="Palatino Linotype"/>
          <w:i/>
        </w:rPr>
        <w:t xml:space="preserve"> </w:t>
      </w:r>
      <w:r w:rsidR="00796740">
        <w:rPr>
          <w:rFonts w:ascii="Palatino Linotype" w:eastAsia="Palatino Linotype" w:hAnsi="Palatino Linotype" w:cs="Palatino Linotype"/>
          <w:i/>
        </w:rPr>
        <w:t xml:space="preserve">labels for CHC construct communities, </w:t>
      </w:r>
      <w:r>
        <w:rPr>
          <w:rFonts w:ascii="Palatino Linotype" w:eastAsia="Palatino Linotype" w:hAnsi="Palatino Linotype" w:cs="Palatino Linotype"/>
          <w:i/>
        </w:rPr>
        <w:t xml:space="preserve">select </w:t>
      </w:r>
      <w:r w:rsidR="00A00A90">
        <w:rPr>
          <w:rFonts w:ascii="Palatino Linotype" w:eastAsia="Palatino Linotype" w:hAnsi="Palatino Linotype" w:cs="Palatino Linotype"/>
          <w:i/>
        </w:rPr>
        <w:t>salient</w:t>
      </w:r>
      <w:r w:rsidR="004E7F31">
        <w:rPr>
          <w:rFonts w:ascii="Palatino Linotype" w:eastAsia="Palatino Linotype" w:hAnsi="Palatino Linotype" w:cs="Palatino Linotype"/>
          <w:i/>
        </w:rPr>
        <w:t xml:space="preserve"> </w:t>
      </w:r>
      <w:r>
        <w:rPr>
          <w:rFonts w:ascii="Palatino Linotype" w:eastAsia="Palatino Linotype" w:hAnsi="Palatino Linotype" w:cs="Palatino Linotype"/>
          <w:i/>
        </w:rPr>
        <w:t>edge</w:t>
      </w:r>
      <w:r w:rsidR="00072457">
        <w:rPr>
          <w:rFonts w:ascii="Palatino Linotype" w:eastAsia="Palatino Linotype" w:hAnsi="Palatino Linotype" w:cs="Palatino Linotype"/>
          <w:i/>
        </w:rPr>
        <w:t xml:space="preserve"> weights</w:t>
      </w:r>
      <w:r w:rsidR="00796740">
        <w:rPr>
          <w:rFonts w:ascii="Palatino Linotype" w:eastAsia="Palatino Linotype" w:hAnsi="Palatino Linotype" w:cs="Palatino Linotype"/>
          <w:i/>
        </w:rPr>
        <w:t>,</w:t>
      </w:r>
      <w:r w:rsidR="00072457">
        <w:rPr>
          <w:rFonts w:ascii="Palatino Linotype" w:eastAsia="Palatino Linotype" w:hAnsi="Palatino Linotype" w:cs="Palatino Linotype"/>
          <w:i/>
        </w:rPr>
        <w:t xml:space="preserve"> and </w:t>
      </w:r>
      <w:r w:rsidR="00796740">
        <w:rPr>
          <w:rFonts w:ascii="Palatino Linotype" w:eastAsia="Palatino Linotype" w:hAnsi="Palatino Linotype" w:cs="Palatino Linotype"/>
          <w:i/>
        </w:rPr>
        <w:t xml:space="preserve">the </w:t>
      </w:r>
      <w:r w:rsidR="00072457">
        <w:rPr>
          <w:rFonts w:ascii="Palatino Linotype" w:eastAsia="Palatino Linotype" w:hAnsi="Palatino Linotype" w:cs="Palatino Linotype"/>
          <w:i/>
        </w:rPr>
        <w:t xml:space="preserve">most central nodes </w:t>
      </w:r>
      <w:r w:rsidR="00AC54BA">
        <w:rPr>
          <w:rFonts w:ascii="Palatino Linotype" w:eastAsia="Palatino Linotype" w:hAnsi="Palatino Linotype" w:cs="Palatino Linotype"/>
          <w:i/>
        </w:rPr>
        <w:t>designations</w:t>
      </w:r>
      <w:r w:rsidR="000F6FE9">
        <w:rPr>
          <w:rFonts w:ascii="Palatino Linotype" w:eastAsia="Palatino Linotype" w:hAnsi="Palatino Linotype" w:cs="Palatino Linotype"/>
          <w:i/>
        </w:rPr>
        <w:t xml:space="preserve"> (small black circles)</w:t>
      </w:r>
    </w:p>
    <w:p w14:paraId="3F16928F" w14:textId="77777777" w:rsidR="00267CAB" w:rsidRDefault="00267CAB">
      <w:pPr>
        <w:rPr>
          <w:rFonts w:ascii="Palatino Linotype" w:hAnsi="Palatino Linotype"/>
          <w:b/>
          <w:bCs/>
        </w:rPr>
      </w:pPr>
    </w:p>
    <w:p w14:paraId="0D16E919" w14:textId="77777777" w:rsidR="00E1588F" w:rsidRDefault="009A305F">
      <w:pPr>
        <w:rPr>
          <w:rFonts w:ascii="Palatino Linotype" w:hAnsi="Palatino Linotype"/>
          <w:b/>
          <w:bCs/>
        </w:rPr>
      </w:pPr>
      <w:r>
        <w:rPr>
          <w:noProof/>
        </w:rPr>
        <w:drawing>
          <wp:inline distT="0" distB="0" distL="0" distR="0" wp14:anchorId="26DCCEE7" wp14:editId="7FFA41B1">
            <wp:extent cx="5943600" cy="5607050"/>
            <wp:effectExtent l="0" t="0" r="0" b="0"/>
            <wp:docPr id="10" name="image7.png" descr="A picture containing pers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picture containing person&#10;&#10;Description automatically generated"/>
                    <pic:cNvPicPr preferRelativeResize="0"/>
                  </pic:nvPicPr>
                  <pic:blipFill>
                    <a:blip r:embed="rId6"/>
                    <a:srcRect/>
                    <a:stretch>
                      <a:fillRect/>
                    </a:stretch>
                  </pic:blipFill>
                  <pic:spPr>
                    <a:xfrm>
                      <a:off x="0" y="0"/>
                      <a:ext cx="5943600" cy="5607050"/>
                    </a:xfrm>
                    <a:prstGeom prst="rect">
                      <a:avLst/>
                    </a:prstGeom>
                    <a:ln/>
                  </pic:spPr>
                </pic:pic>
              </a:graphicData>
            </a:graphic>
          </wp:inline>
        </w:drawing>
      </w:r>
    </w:p>
    <w:p w14:paraId="6B70BEF1" w14:textId="77777777" w:rsidR="00E1588F" w:rsidRDefault="00E1588F">
      <w:pPr>
        <w:rPr>
          <w:rFonts w:ascii="Palatino Linotype" w:hAnsi="Palatino Linotype"/>
          <w:b/>
          <w:bCs/>
        </w:rPr>
      </w:pPr>
    </w:p>
    <w:p w14:paraId="27B5B545" w14:textId="77777777" w:rsidR="000F6FE9" w:rsidRDefault="000F6FE9" w:rsidP="001C2426">
      <w:pPr>
        <w:spacing w:after="240" w:line="360" w:lineRule="auto"/>
        <w:rPr>
          <w:rFonts w:ascii="Palatino Linotype" w:hAnsi="Palatino Linotype"/>
          <w:b/>
          <w:bCs/>
        </w:rPr>
      </w:pPr>
    </w:p>
    <w:p w14:paraId="12A9E78F" w14:textId="50C43111" w:rsidR="001C2426" w:rsidRPr="001C2426" w:rsidRDefault="001C2426" w:rsidP="001C2426">
      <w:pPr>
        <w:spacing w:after="240" w:line="360" w:lineRule="auto"/>
        <w:rPr>
          <w:rFonts w:ascii="Palatino Linotype" w:eastAsia="Palatino Linotype" w:hAnsi="Palatino Linotype" w:cs="Palatino Linotype"/>
          <w:b/>
        </w:rPr>
      </w:pPr>
      <w:r w:rsidRPr="001C2426">
        <w:rPr>
          <w:rFonts w:ascii="Palatino Linotype" w:eastAsia="Palatino Linotype" w:hAnsi="Palatino Linotype" w:cs="Palatino Linotype"/>
          <w:b/>
        </w:rPr>
        <w:lastRenderedPageBreak/>
        <w:t xml:space="preserve">Figure </w:t>
      </w:r>
      <w:r>
        <w:rPr>
          <w:rFonts w:ascii="Palatino Linotype" w:eastAsia="Palatino Linotype" w:hAnsi="Palatino Linotype" w:cs="Palatino Linotype"/>
          <w:b/>
        </w:rPr>
        <w:t>B.2</w:t>
      </w:r>
    </w:p>
    <w:p w14:paraId="1B251A24" w14:textId="2803EDB5" w:rsidR="001C2426" w:rsidRPr="001C2426" w:rsidRDefault="001C2426" w:rsidP="001C2426">
      <w:pPr>
        <w:spacing w:after="240" w:line="360" w:lineRule="auto"/>
        <w:rPr>
          <w:rFonts w:ascii="Palatino Linotype" w:eastAsia="Palatino Linotype" w:hAnsi="Palatino Linotype" w:cs="Palatino Linotype"/>
          <w:b/>
        </w:rPr>
      </w:pPr>
      <w:r w:rsidRPr="001C2426">
        <w:rPr>
          <w:rFonts w:ascii="Palatino Linotype" w:eastAsia="Palatino Linotype" w:hAnsi="Palatino Linotype" w:cs="Palatino Linotype"/>
          <w:i/>
        </w:rPr>
        <w:t>Weighted undirected network structure of 2</w:t>
      </w:r>
      <w:r w:rsidR="00993557">
        <w:rPr>
          <w:rFonts w:ascii="Palatino Linotype" w:eastAsia="Palatino Linotype" w:hAnsi="Palatino Linotype" w:cs="Palatino Linotype"/>
          <w:i/>
        </w:rPr>
        <w:t xml:space="preserve">3 </w:t>
      </w:r>
      <w:r w:rsidRPr="001C2426">
        <w:rPr>
          <w:rFonts w:ascii="Palatino Linotype" w:eastAsia="Palatino Linotype" w:hAnsi="Palatino Linotype" w:cs="Palatino Linotype"/>
          <w:i/>
        </w:rPr>
        <w:t xml:space="preserve">select WJ IV measures of </w:t>
      </w:r>
      <w:r w:rsidR="00E77B89">
        <w:rPr>
          <w:rFonts w:ascii="Palatino Linotype" w:eastAsia="Palatino Linotype" w:hAnsi="Palatino Linotype" w:cs="Palatino Linotype"/>
          <w:i/>
        </w:rPr>
        <w:t xml:space="preserve">eight </w:t>
      </w:r>
      <w:r w:rsidRPr="001C2426">
        <w:rPr>
          <w:rFonts w:ascii="Palatino Linotype" w:eastAsia="Palatino Linotype" w:hAnsi="Palatino Linotype" w:cs="Palatino Linotype"/>
          <w:i/>
        </w:rPr>
        <w:t xml:space="preserve">broad CHC ability domains in the </w:t>
      </w:r>
      <w:r w:rsidR="00773037">
        <w:rPr>
          <w:rFonts w:ascii="Palatino Linotype" w:eastAsia="Palatino Linotype" w:hAnsi="Palatino Linotype" w:cs="Palatino Linotype"/>
          <w:i/>
        </w:rPr>
        <w:t>s</w:t>
      </w:r>
      <w:r w:rsidR="00E77B89">
        <w:rPr>
          <w:rFonts w:ascii="Palatino Linotype" w:eastAsia="Palatino Linotype" w:hAnsi="Palatino Linotype" w:cs="Palatino Linotype"/>
          <w:i/>
        </w:rPr>
        <w:t>econdary sensitivity</w:t>
      </w:r>
      <w:r w:rsidRPr="001C2426">
        <w:rPr>
          <w:rFonts w:ascii="Palatino Linotype" w:eastAsia="Palatino Linotype" w:hAnsi="Palatino Linotype" w:cs="Palatino Linotype"/>
          <w:i/>
        </w:rPr>
        <w:t xml:space="preserve"> network model</w:t>
      </w:r>
      <w:r w:rsidR="00705394">
        <w:rPr>
          <w:rFonts w:ascii="Palatino Linotype" w:eastAsia="Palatino Linotype" w:hAnsi="Palatino Linotype" w:cs="Palatino Linotype"/>
          <w:i/>
        </w:rPr>
        <w:t>:  JASP produced network model edited to include labels for CHC construct communities.</w:t>
      </w:r>
    </w:p>
    <w:p w14:paraId="11382043" w14:textId="25A22F0D" w:rsidR="00E1588F" w:rsidRDefault="00BA3374">
      <w:pPr>
        <w:rPr>
          <w:rFonts w:ascii="Palatino Linotype" w:hAnsi="Palatino Linotype"/>
          <w:b/>
          <w:bCs/>
        </w:rPr>
      </w:pPr>
      <w:r>
        <w:rPr>
          <w:noProof/>
        </w:rPr>
        <w:drawing>
          <wp:anchor distT="0" distB="0" distL="114300" distR="114300" simplePos="0" relativeHeight="251659264" behindDoc="0" locked="0" layoutInCell="1" allowOverlap="1" wp14:anchorId="59F3BB12" wp14:editId="765C87F7">
            <wp:simplePos x="0" y="0"/>
            <wp:positionH relativeFrom="column">
              <wp:posOffset>0</wp:posOffset>
            </wp:positionH>
            <wp:positionV relativeFrom="paragraph">
              <wp:posOffset>306070</wp:posOffset>
            </wp:positionV>
            <wp:extent cx="5925185" cy="5419725"/>
            <wp:effectExtent l="0" t="0" r="5715" b="3175"/>
            <wp:wrapTopAndBottom/>
            <wp:docPr id="9" name="image1.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9" name="image1.png" descr="Diagram&#10;&#10;Description automatically generated"/>
                    <pic:cNvPicPr/>
                  </pic:nvPicPr>
                  <pic:blipFill>
                    <a:blip r:embed="rId7"/>
                    <a:srcRect/>
                    <a:stretch>
                      <a:fillRect/>
                    </a:stretch>
                  </pic:blipFill>
                  <pic:spPr>
                    <a:xfrm>
                      <a:off x="0" y="0"/>
                      <a:ext cx="5925185" cy="5419725"/>
                    </a:xfrm>
                    <a:prstGeom prst="rect">
                      <a:avLst/>
                    </a:prstGeom>
                    <a:ln/>
                  </pic:spPr>
                </pic:pic>
              </a:graphicData>
            </a:graphic>
          </wp:anchor>
        </w:drawing>
      </w:r>
    </w:p>
    <w:p w14:paraId="2ADFA20D" w14:textId="77777777" w:rsidR="00E1588F" w:rsidRDefault="00E1588F">
      <w:pPr>
        <w:rPr>
          <w:rFonts w:ascii="Palatino Linotype" w:hAnsi="Palatino Linotype"/>
          <w:b/>
          <w:bCs/>
        </w:rPr>
      </w:pPr>
    </w:p>
    <w:p w14:paraId="41F26B64" w14:textId="77777777" w:rsidR="00E1588F" w:rsidRDefault="00E1588F">
      <w:pPr>
        <w:rPr>
          <w:rFonts w:ascii="Palatino Linotype" w:hAnsi="Palatino Linotype"/>
          <w:b/>
          <w:bCs/>
        </w:rPr>
      </w:pPr>
    </w:p>
    <w:p w14:paraId="7427F25A" w14:textId="77777777" w:rsidR="005906D0" w:rsidRDefault="005906D0" w:rsidP="005906D0">
      <w:pPr>
        <w:rPr>
          <w:rFonts w:ascii="Palatino Linotype" w:hAnsi="Palatino Linotype"/>
          <w:b/>
          <w:bCs/>
        </w:rPr>
      </w:pPr>
    </w:p>
    <w:p w14:paraId="06EA59BB" w14:textId="77777777" w:rsidR="00E77B89" w:rsidRDefault="00E77B89" w:rsidP="005906D0">
      <w:pPr>
        <w:jc w:val="center"/>
        <w:rPr>
          <w:rFonts w:ascii="Palatino Linotype" w:hAnsi="Palatino Linotype"/>
          <w:b/>
          <w:bCs/>
        </w:rPr>
      </w:pPr>
    </w:p>
    <w:p w14:paraId="5A668298" w14:textId="77777777" w:rsidR="00E77B89" w:rsidRDefault="00E77B89" w:rsidP="005906D0">
      <w:pPr>
        <w:jc w:val="center"/>
        <w:rPr>
          <w:rFonts w:ascii="Palatino Linotype" w:hAnsi="Palatino Linotype"/>
          <w:b/>
          <w:bCs/>
        </w:rPr>
      </w:pPr>
    </w:p>
    <w:p w14:paraId="6A8719A1" w14:textId="6780FC93" w:rsidR="002F6A63" w:rsidRDefault="0076577E" w:rsidP="005906D0">
      <w:pPr>
        <w:jc w:val="center"/>
        <w:rPr>
          <w:rFonts w:ascii="Palatino Linotype" w:hAnsi="Palatino Linotype"/>
          <w:b/>
          <w:bCs/>
        </w:rPr>
      </w:pPr>
      <w:r w:rsidRPr="0076577E">
        <w:rPr>
          <w:rFonts w:ascii="Palatino Linotype" w:hAnsi="Palatino Linotype"/>
          <w:b/>
          <w:bCs/>
        </w:rPr>
        <w:t xml:space="preserve">Appendix </w:t>
      </w:r>
      <w:r w:rsidR="00681148">
        <w:rPr>
          <w:rFonts w:ascii="Palatino Linotype" w:hAnsi="Palatino Linotype"/>
          <w:b/>
          <w:bCs/>
        </w:rPr>
        <w:t>C</w:t>
      </w:r>
      <w:r w:rsidRPr="0076577E">
        <w:rPr>
          <w:rFonts w:ascii="Palatino Linotype" w:hAnsi="Palatino Linotype"/>
          <w:b/>
          <w:bCs/>
        </w:rPr>
        <w:t>:  Quantile Distribution of 20-mea</w:t>
      </w:r>
      <w:r>
        <w:rPr>
          <w:rFonts w:ascii="Palatino Linotype" w:hAnsi="Palatino Linotype"/>
          <w:b/>
          <w:bCs/>
        </w:rPr>
        <w:t>sure Primary CHC Network Model</w:t>
      </w:r>
    </w:p>
    <w:p w14:paraId="1F772BBD" w14:textId="77777777" w:rsidR="005906D0" w:rsidRPr="0076577E" w:rsidRDefault="005906D0" w:rsidP="005906D0">
      <w:pPr>
        <w:jc w:val="center"/>
        <w:rPr>
          <w:rFonts w:ascii="Palatino Linotype" w:hAnsi="Palatino Linotype"/>
          <w:b/>
          <w:bCs/>
        </w:rPr>
      </w:pPr>
    </w:p>
    <w:p w14:paraId="325BA8D1" w14:textId="100DAEE4" w:rsidR="00F77E74" w:rsidRPr="0097789D" w:rsidRDefault="00F77E74" w:rsidP="00F77E74">
      <w:pPr>
        <w:spacing w:after="240" w:line="360" w:lineRule="auto"/>
        <w:rPr>
          <w:rFonts w:ascii="Palatino Linotype" w:hAnsi="Palatino Linotype"/>
          <w:b/>
          <w:bCs/>
        </w:rPr>
      </w:pPr>
      <w:r w:rsidRPr="0097789D">
        <w:rPr>
          <w:rFonts w:ascii="Palatino Linotype" w:hAnsi="Palatino Linotype"/>
          <w:b/>
          <w:bCs/>
        </w:rPr>
        <w:t xml:space="preserve">Figure </w:t>
      </w:r>
      <w:r w:rsidR="006671CD">
        <w:rPr>
          <w:rFonts w:ascii="Palatino Linotype" w:hAnsi="Palatino Linotype"/>
          <w:b/>
          <w:bCs/>
        </w:rPr>
        <w:t>C.</w:t>
      </w:r>
      <w:r w:rsidR="0097789D" w:rsidRPr="0097789D">
        <w:rPr>
          <w:rFonts w:ascii="Palatino Linotype" w:hAnsi="Palatino Linotype"/>
          <w:b/>
          <w:bCs/>
        </w:rPr>
        <w:t>1</w:t>
      </w:r>
    </w:p>
    <w:p w14:paraId="016820D0" w14:textId="2EEC5C5B" w:rsidR="00F77E74" w:rsidRPr="0097789D" w:rsidRDefault="00F77E74" w:rsidP="00F77E74">
      <w:pPr>
        <w:spacing w:after="240" w:line="360" w:lineRule="auto"/>
        <w:rPr>
          <w:rFonts w:ascii="Palatino Linotype" w:hAnsi="Palatino Linotype"/>
          <w:i/>
          <w:iCs/>
        </w:rPr>
      </w:pPr>
      <w:r w:rsidRPr="0097789D">
        <w:rPr>
          <w:rFonts w:ascii="Palatino Linotype" w:hAnsi="Palatino Linotype"/>
          <w:i/>
          <w:iCs/>
        </w:rPr>
        <w:t>Quantile distribution of network edge weights from primary network model (Figure 1</w:t>
      </w:r>
      <w:r w:rsidR="0095025A">
        <w:rPr>
          <w:rFonts w:ascii="Palatino Linotype" w:hAnsi="Palatino Linotype"/>
          <w:i/>
          <w:iCs/>
        </w:rPr>
        <w:t xml:space="preserve"> and B.1</w:t>
      </w:r>
      <w:r w:rsidRPr="0097789D">
        <w:rPr>
          <w:rFonts w:ascii="Palatino Linotype" w:hAnsi="Palatino Linotype"/>
          <w:i/>
          <w:iCs/>
        </w:rPr>
        <w:t>)</w:t>
      </w:r>
    </w:p>
    <w:p w14:paraId="12BF7899" w14:textId="77777777" w:rsidR="00F77E74" w:rsidRPr="0097789D" w:rsidRDefault="00F77E74" w:rsidP="00F77E74">
      <w:pPr>
        <w:spacing w:after="240" w:line="360" w:lineRule="auto"/>
        <w:rPr>
          <w:rFonts w:ascii="Palatino Linotype" w:hAnsi="Palatino Linotype"/>
        </w:rPr>
      </w:pPr>
    </w:p>
    <w:p w14:paraId="56823F6D" w14:textId="77777777" w:rsidR="00F77E74" w:rsidRPr="0097789D" w:rsidRDefault="00F77E74" w:rsidP="00F77E74">
      <w:pPr>
        <w:spacing w:after="240" w:line="360" w:lineRule="auto"/>
        <w:rPr>
          <w:rFonts w:ascii="Palatino Linotype" w:hAnsi="Palatino Linotype"/>
        </w:rPr>
      </w:pPr>
      <w:r w:rsidRPr="0097789D">
        <w:rPr>
          <w:rFonts w:ascii="Palatino Linotype" w:hAnsi="Palatino Linotype"/>
          <w:noProof/>
        </w:rPr>
        <w:drawing>
          <wp:inline distT="0" distB="0" distL="0" distR="0" wp14:anchorId="4000A68F" wp14:editId="74028527">
            <wp:extent cx="5943600" cy="4231640"/>
            <wp:effectExtent l="0" t="0" r="0" b="0"/>
            <wp:docPr id="8" name="Picture 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10;&#10;Description automatically generated"/>
                    <pic:cNvPicPr/>
                  </pic:nvPicPr>
                  <pic:blipFill>
                    <a:blip r:embed="rId8"/>
                    <a:stretch>
                      <a:fillRect/>
                    </a:stretch>
                  </pic:blipFill>
                  <pic:spPr>
                    <a:xfrm>
                      <a:off x="0" y="0"/>
                      <a:ext cx="5943600" cy="4231640"/>
                    </a:xfrm>
                    <a:prstGeom prst="rect">
                      <a:avLst/>
                    </a:prstGeom>
                  </pic:spPr>
                </pic:pic>
              </a:graphicData>
            </a:graphic>
          </wp:inline>
        </w:drawing>
      </w:r>
    </w:p>
    <w:p w14:paraId="48B76CD9" w14:textId="77777777" w:rsidR="00F77E74" w:rsidRPr="0097789D" w:rsidRDefault="00F77E74">
      <w:pPr>
        <w:rPr>
          <w:rFonts w:ascii="Palatino Linotype" w:hAnsi="Palatino Linotype"/>
        </w:rPr>
      </w:pPr>
    </w:p>
    <w:p w14:paraId="4C83B399" w14:textId="77777777" w:rsidR="00F77E74" w:rsidRPr="0097789D" w:rsidRDefault="00F77E74">
      <w:pPr>
        <w:rPr>
          <w:rFonts w:ascii="Palatino Linotype" w:hAnsi="Palatino Linotype"/>
        </w:rPr>
      </w:pPr>
    </w:p>
    <w:p w14:paraId="213AC229" w14:textId="77777777" w:rsidR="00F77E74" w:rsidRPr="0097789D" w:rsidRDefault="00F77E74">
      <w:pPr>
        <w:rPr>
          <w:rFonts w:ascii="Palatino Linotype" w:hAnsi="Palatino Linotype"/>
        </w:rPr>
      </w:pPr>
    </w:p>
    <w:p w14:paraId="5ECD9677" w14:textId="77777777" w:rsidR="00975068" w:rsidRDefault="00975068" w:rsidP="00C31AC7">
      <w:pPr>
        <w:spacing w:after="240" w:line="360" w:lineRule="auto"/>
        <w:jc w:val="center"/>
        <w:rPr>
          <w:rFonts w:ascii="Palatino Linotype" w:hAnsi="Palatino Linotype"/>
          <w:b/>
          <w:bCs/>
        </w:rPr>
      </w:pPr>
    </w:p>
    <w:p w14:paraId="7A71F76E" w14:textId="6856A38F" w:rsidR="009B570B" w:rsidRDefault="00EB598E" w:rsidP="00C31AC7">
      <w:pPr>
        <w:spacing w:after="240" w:line="360" w:lineRule="auto"/>
        <w:jc w:val="center"/>
        <w:rPr>
          <w:rFonts w:ascii="Palatino Linotype" w:hAnsi="Palatino Linotype"/>
          <w:b/>
          <w:bCs/>
        </w:rPr>
      </w:pPr>
      <w:r w:rsidRPr="009B570B">
        <w:rPr>
          <w:rFonts w:ascii="Palatino Linotype" w:hAnsi="Palatino Linotype"/>
          <w:b/>
          <w:bCs/>
        </w:rPr>
        <w:lastRenderedPageBreak/>
        <w:t xml:space="preserve">Appendix </w:t>
      </w:r>
      <w:r w:rsidR="006671CD">
        <w:rPr>
          <w:rFonts w:ascii="Palatino Linotype" w:hAnsi="Palatino Linotype"/>
          <w:b/>
          <w:bCs/>
        </w:rPr>
        <w:t>D</w:t>
      </w:r>
      <w:r w:rsidRPr="009B570B">
        <w:rPr>
          <w:rFonts w:ascii="Palatino Linotype" w:hAnsi="Palatino Linotype"/>
          <w:b/>
          <w:bCs/>
        </w:rPr>
        <w:t xml:space="preserve">:  </w:t>
      </w:r>
      <w:r w:rsidR="009B570B" w:rsidRPr="009B570B">
        <w:rPr>
          <w:rFonts w:ascii="Palatino Linotype" w:hAnsi="Palatino Linotype"/>
          <w:b/>
          <w:bCs/>
        </w:rPr>
        <w:t xml:space="preserve">Network </w:t>
      </w:r>
      <w:r w:rsidR="00E9536B">
        <w:rPr>
          <w:rFonts w:ascii="Palatino Linotype" w:hAnsi="Palatino Linotype"/>
          <w:b/>
          <w:bCs/>
        </w:rPr>
        <w:t xml:space="preserve">Central Metric </w:t>
      </w:r>
      <w:r w:rsidR="009B570B">
        <w:rPr>
          <w:rFonts w:ascii="Palatino Linotype" w:hAnsi="Palatino Linotype"/>
          <w:b/>
          <w:bCs/>
        </w:rPr>
        <w:t xml:space="preserve">Stability </w:t>
      </w:r>
      <w:r w:rsidR="007B3441">
        <w:rPr>
          <w:rFonts w:ascii="Palatino Linotype" w:hAnsi="Palatino Linotype"/>
          <w:b/>
          <w:bCs/>
        </w:rPr>
        <w:t>Analysis</w:t>
      </w:r>
    </w:p>
    <w:p w14:paraId="79E770C3" w14:textId="4B6F5CB9" w:rsidR="00B0108F" w:rsidRPr="009B570B" w:rsidRDefault="00EC7FB0" w:rsidP="002631F7">
      <w:pPr>
        <w:spacing w:after="240" w:line="360" w:lineRule="auto"/>
        <w:ind w:firstLine="720"/>
        <w:rPr>
          <w:rFonts w:ascii="Palatino Linotype" w:hAnsi="Palatino Linotype"/>
        </w:rPr>
      </w:pPr>
      <w:r>
        <w:rPr>
          <w:rFonts w:ascii="Palatino Linotype" w:hAnsi="Palatino Linotype"/>
        </w:rPr>
        <w:t>As per the recommendation of Epskamp</w:t>
      </w:r>
      <w:r w:rsidR="00C55637">
        <w:rPr>
          <w:rFonts w:ascii="Palatino Linotype" w:hAnsi="Palatino Linotype"/>
        </w:rPr>
        <w:t xml:space="preserve"> et al.,</w:t>
      </w:r>
      <w:r>
        <w:rPr>
          <w:rFonts w:ascii="Palatino Linotype" w:hAnsi="Palatino Linotype"/>
        </w:rPr>
        <w:t xml:space="preserve"> (2018),</w:t>
      </w:r>
      <w:r w:rsidR="00B66997">
        <w:rPr>
          <w:rFonts w:ascii="Palatino Linotype" w:hAnsi="Palatino Linotype"/>
        </w:rPr>
        <w:t xml:space="preserve"> the</w:t>
      </w:r>
      <w:r>
        <w:rPr>
          <w:rFonts w:ascii="Palatino Linotype" w:hAnsi="Palatino Linotype"/>
        </w:rPr>
        <w:t xml:space="preserve"> </w:t>
      </w:r>
      <w:r w:rsidR="00506CA1" w:rsidRPr="00DE699C">
        <w:rPr>
          <w:rFonts w:ascii="Palatino Linotype" w:hAnsi="Palatino Linotype"/>
          <w:i/>
          <w:iCs/>
        </w:rPr>
        <w:t>case-dropping subset bootstrap</w:t>
      </w:r>
      <w:r w:rsidR="00506CA1">
        <w:rPr>
          <w:rFonts w:ascii="Palatino Linotype" w:hAnsi="Palatino Linotype"/>
        </w:rPr>
        <w:t xml:space="preserve"> (</w:t>
      </w:r>
      <w:r w:rsidR="00506CA1" w:rsidRPr="00DE699C">
        <w:rPr>
          <w:rFonts w:ascii="Palatino Linotype" w:hAnsi="Palatino Linotype"/>
          <w:i/>
          <w:iCs/>
        </w:rPr>
        <w:t xml:space="preserve">n </w:t>
      </w:r>
      <w:r w:rsidR="00506CA1">
        <w:rPr>
          <w:rFonts w:ascii="Palatino Linotype" w:hAnsi="Palatino Linotype"/>
        </w:rPr>
        <w:t>= 1000 samples)</w:t>
      </w:r>
      <w:r w:rsidR="000F4D57">
        <w:rPr>
          <w:rFonts w:ascii="Palatino Linotype" w:hAnsi="Palatino Linotype"/>
        </w:rPr>
        <w:t xml:space="preserve"> procedure</w:t>
      </w:r>
      <w:r w:rsidR="00DE699C">
        <w:rPr>
          <w:rFonts w:ascii="Palatino Linotype" w:hAnsi="Palatino Linotype"/>
        </w:rPr>
        <w:t xml:space="preserve">, as operationalized in the </w:t>
      </w:r>
      <w:r w:rsidR="00DE699C" w:rsidRPr="00DE699C">
        <w:rPr>
          <w:rFonts w:ascii="Palatino Linotype" w:hAnsi="Palatino Linotype"/>
          <w:i/>
          <w:iCs/>
        </w:rPr>
        <w:t>JASP</w:t>
      </w:r>
      <w:r w:rsidR="00DE699C">
        <w:rPr>
          <w:rFonts w:ascii="Palatino Linotype" w:hAnsi="Palatino Linotype"/>
        </w:rPr>
        <w:t xml:space="preserve"> network module, </w:t>
      </w:r>
      <w:r w:rsidR="006971BF">
        <w:rPr>
          <w:rFonts w:ascii="Palatino Linotype" w:hAnsi="Palatino Linotype"/>
        </w:rPr>
        <w:t>w</w:t>
      </w:r>
      <w:r w:rsidR="009B4351">
        <w:rPr>
          <w:rFonts w:ascii="Palatino Linotype" w:hAnsi="Palatino Linotype"/>
        </w:rPr>
        <w:t>as</w:t>
      </w:r>
      <w:r w:rsidR="006971BF">
        <w:rPr>
          <w:rFonts w:ascii="Palatino Linotype" w:hAnsi="Palatino Linotype"/>
        </w:rPr>
        <w:t xml:space="preserve"> completed with the primary 20-measure </w:t>
      </w:r>
      <w:r w:rsidR="005D1BC2">
        <w:rPr>
          <w:rFonts w:ascii="Palatino Linotype" w:hAnsi="Palatino Linotype"/>
        </w:rPr>
        <w:t xml:space="preserve">CHC </w:t>
      </w:r>
      <w:r w:rsidR="00DE699C">
        <w:rPr>
          <w:rFonts w:ascii="Palatino Linotype" w:hAnsi="Palatino Linotype"/>
        </w:rPr>
        <w:t>model</w:t>
      </w:r>
      <w:r w:rsidR="004230FA">
        <w:rPr>
          <w:rFonts w:ascii="Palatino Linotype" w:hAnsi="Palatino Linotype"/>
        </w:rPr>
        <w:t xml:space="preserve"> to evaluate the stability of the network</w:t>
      </w:r>
      <w:r w:rsidR="00802DBF">
        <w:rPr>
          <w:rFonts w:ascii="Palatino Linotype" w:hAnsi="Palatino Linotype"/>
        </w:rPr>
        <w:t xml:space="preserve"> </w:t>
      </w:r>
      <w:r w:rsidR="004230FA">
        <w:rPr>
          <w:rFonts w:ascii="Palatino Linotype" w:hAnsi="Palatino Linotype"/>
        </w:rPr>
        <w:t>centrality metrics</w:t>
      </w:r>
      <w:proofErr w:type="gramStart"/>
      <w:r w:rsidR="00053BA0">
        <w:rPr>
          <w:rFonts w:ascii="Palatino Linotype" w:hAnsi="Palatino Linotype"/>
        </w:rPr>
        <w:t xml:space="preserve">. </w:t>
      </w:r>
      <w:proofErr w:type="gramEnd"/>
      <w:r w:rsidR="00B2514A">
        <w:rPr>
          <w:rFonts w:ascii="Palatino Linotype" w:hAnsi="Palatino Linotype"/>
        </w:rPr>
        <w:t>These analyses</w:t>
      </w:r>
      <w:r w:rsidR="00726064">
        <w:rPr>
          <w:rFonts w:ascii="Palatino Linotype" w:hAnsi="Palatino Linotype"/>
        </w:rPr>
        <w:t xml:space="preserve"> indicate whether the relative ordering of </w:t>
      </w:r>
      <w:r w:rsidR="007828BB">
        <w:rPr>
          <w:rFonts w:ascii="Palatino Linotype" w:hAnsi="Palatino Linotype"/>
        </w:rPr>
        <w:t>centrality indices</w:t>
      </w:r>
      <w:r w:rsidR="00155280">
        <w:rPr>
          <w:rFonts w:ascii="Palatino Linotype" w:hAnsi="Palatino Linotype"/>
        </w:rPr>
        <w:t xml:space="preserve"> </w:t>
      </w:r>
      <w:r w:rsidR="007828BB">
        <w:rPr>
          <w:rFonts w:ascii="Palatino Linotype" w:hAnsi="Palatino Linotype"/>
        </w:rPr>
        <w:t>remain the same when the network is re-estimated with fewer cases</w:t>
      </w:r>
      <w:proofErr w:type="gramStart"/>
      <w:r w:rsidR="00053BA0">
        <w:rPr>
          <w:rFonts w:ascii="Palatino Linotype" w:hAnsi="Palatino Linotype"/>
        </w:rPr>
        <w:t xml:space="preserve">. </w:t>
      </w:r>
      <w:proofErr w:type="gramEnd"/>
      <w:r w:rsidR="003901EE">
        <w:rPr>
          <w:rFonts w:ascii="Palatino Linotype" w:hAnsi="Palatino Linotype"/>
        </w:rPr>
        <w:t xml:space="preserve">The stability metric is the average correlation </w:t>
      </w:r>
      <w:r w:rsidR="00F146BE">
        <w:rPr>
          <w:rFonts w:ascii="Palatino Linotype" w:hAnsi="Palatino Linotype"/>
        </w:rPr>
        <w:t>of the re-estimated indices with the original complete sample indices</w:t>
      </w:r>
      <w:r w:rsidR="001E7E23">
        <w:rPr>
          <w:rFonts w:ascii="Palatino Linotype" w:hAnsi="Palatino Linotype"/>
        </w:rPr>
        <w:t xml:space="preserve">, displayed as a function of </w:t>
      </w:r>
      <w:r w:rsidR="00CE611F">
        <w:rPr>
          <w:rFonts w:ascii="Palatino Linotype" w:hAnsi="Palatino Linotype"/>
        </w:rPr>
        <w:t>percentage (</w:t>
      </w:r>
      <w:r w:rsidR="00FE457F">
        <w:rPr>
          <w:rFonts w:ascii="Palatino Linotype" w:hAnsi="Palatino Linotype"/>
        </w:rPr>
        <w:t>%)</w:t>
      </w:r>
      <w:r w:rsidR="001E1FC8">
        <w:rPr>
          <w:rFonts w:ascii="Palatino Linotype" w:hAnsi="Palatino Linotype"/>
        </w:rPr>
        <w:t xml:space="preserve"> of total sampled cases</w:t>
      </w:r>
      <w:r w:rsidR="00465DC1">
        <w:rPr>
          <w:rFonts w:ascii="Palatino Linotype" w:hAnsi="Palatino Linotype"/>
        </w:rPr>
        <w:t xml:space="preserve"> dropped</w:t>
      </w:r>
      <w:proofErr w:type="gramStart"/>
      <w:r w:rsidR="00053BA0">
        <w:rPr>
          <w:rFonts w:ascii="Palatino Linotype" w:hAnsi="Palatino Linotype"/>
        </w:rPr>
        <w:t xml:space="preserve">. </w:t>
      </w:r>
      <w:proofErr w:type="gramEnd"/>
      <w:r w:rsidR="0020095C">
        <w:rPr>
          <w:rFonts w:ascii="Palatino Linotype" w:hAnsi="Palatino Linotype"/>
        </w:rPr>
        <w:t xml:space="preserve">This term is called the </w:t>
      </w:r>
      <w:r w:rsidR="0020095C" w:rsidRPr="00A0258B">
        <w:rPr>
          <w:rFonts w:ascii="Palatino Linotype" w:hAnsi="Palatino Linotype"/>
          <w:i/>
          <w:iCs/>
        </w:rPr>
        <w:t>correlation stability coefficient</w:t>
      </w:r>
      <w:r w:rsidR="0020095C">
        <w:rPr>
          <w:rFonts w:ascii="Palatino Linotype" w:hAnsi="Palatino Linotype"/>
        </w:rPr>
        <w:t xml:space="preserve"> (</w:t>
      </w:r>
      <w:r w:rsidR="0020095C" w:rsidRPr="003D3F7C">
        <w:rPr>
          <w:rFonts w:ascii="Palatino Linotype" w:hAnsi="Palatino Linotype"/>
          <w:i/>
          <w:iCs/>
        </w:rPr>
        <w:t>CS</w:t>
      </w:r>
      <w:r w:rsidR="0020095C">
        <w:rPr>
          <w:rFonts w:ascii="Palatino Linotype" w:hAnsi="Palatino Linotype"/>
        </w:rPr>
        <w:t>-coefficient)</w:t>
      </w:r>
      <w:proofErr w:type="gramStart"/>
      <w:r w:rsidR="00053BA0">
        <w:rPr>
          <w:rFonts w:ascii="Palatino Linotype" w:hAnsi="Palatino Linotype"/>
        </w:rPr>
        <w:t>.</w:t>
      </w:r>
      <w:r w:rsidR="005E338C">
        <w:rPr>
          <w:rFonts w:ascii="Palatino Linotype" w:hAnsi="Palatino Linotype"/>
        </w:rPr>
        <w:t xml:space="preserve"> </w:t>
      </w:r>
      <w:proofErr w:type="gramEnd"/>
      <w:r w:rsidR="008074DE">
        <w:rPr>
          <w:rFonts w:ascii="Palatino Linotype" w:hAnsi="Palatino Linotype"/>
        </w:rPr>
        <w:t xml:space="preserve">The obtained sample means are displayed on </w:t>
      </w:r>
      <w:r w:rsidR="00BF7D3C">
        <w:rPr>
          <w:rFonts w:ascii="Palatino Linotype" w:hAnsi="Palatino Linotype"/>
        </w:rPr>
        <w:t xml:space="preserve">each figure in </w:t>
      </w:r>
      <w:r w:rsidR="008074DE">
        <w:rPr>
          <w:rFonts w:ascii="Palatino Linotype" w:hAnsi="Palatino Linotype"/>
        </w:rPr>
        <w:t xml:space="preserve">with the X-axes indicating the % of the original sample size retained, along with the sample-based 95% confidence </w:t>
      </w:r>
      <w:r w:rsidR="005E338C">
        <w:rPr>
          <w:rFonts w:ascii="Palatino Linotype" w:hAnsi="Palatino Linotype"/>
        </w:rPr>
        <w:t>range (from the 2.5</w:t>
      </w:r>
      <w:r w:rsidR="005E338C" w:rsidRPr="005E338C">
        <w:rPr>
          <w:rFonts w:ascii="Palatino Linotype" w:hAnsi="Palatino Linotype"/>
          <w:vertAlign w:val="superscript"/>
        </w:rPr>
        <w:t>th</w:t>
      </w:r>
      <w:r w:rsidR="005E338C">
        <w:rPr>
          <w:rFonts w:ascii="Palatino Linotype" w:hAnsi="Palatino Linotype"/>
        </w:rPr>
        <w:t xml:space="preserve"> quantile to the 97.5</w:t>
      </w:r>
      <w:r w:rsidR="005E338C" w:rsidRPr="005E338C">
        <w:rPr>
          <w:rFonts w:ascii="Palatino Linotype" w:hAnsi="Palatino Linotype"/>
          <w:vertAlign w:val="superscript"/>
        </w:rPr>
        <w:t>th</w:t>
      </w:r>
      <w:r w:rsidR="005E338C">
        <w:rPr>
          <w:rFonts w:ascii="Palatino Linotype" w:hAnsi="Palatino Linotype"/>
        </w:rPr>
        <w:t xml:space="preserve"> quantile) </w:t>
      </w:r>
      <w:r w:rsidR="008074DE">
        <w:rPr>
          <w:rFonts w:ascii="Palatino Linotype" w:hAnsi="Palatino Linotype"/>
        </w:rPr>
        <w:t>around the mean value</w:t>
      </w:r>
      <w:r w:rsidR="008D6426">
        <w:rPr>
          <w:rFonts w:ascii="Palatino Linotype" w:hAnsi="Palatino Linotype"/>
        </w:rPr>
        <w:t>s</w:t>
      </w:r>
      <w:r w:rsidR="008074DE">
        <w:rPr>
          <w:rFonts w:ascii="Palatino Linotype" w:hAnsi="Palatino Linotype"/>
        </w:rPr>
        <w:t>.</w:t>
      </w:r>
    </w:p>
    <w:p w14:paraId="3BE665B1" w14:textId="7A739DD2" w:rsidR="0051737B" w:rsidRDefault="00E75C9E" w:rsidP="002631F7">
      <w:pPr>
        <w:spacing w:line="360" w:lineRule="auto"/>
        <w:ind w:firstLine="720"/>
        <w:rPr>
          <w:rFonts w:ascii="Palatino Linotype" w:hAnsi="Palatino Linotype"/>
        </w:rPr>
      </w:pPr>
      <w:r>
        <w:rPr>
          <w:rFonts w:ascii="Palatino Linotype" w:hAnsi="Palatino Linotype"/>
        </w:rPr>
        <w:t xml:space="preserve">Figure </w:t>
      </w:r>
      <w:r w:rsidR="006671CD">
        <w:rPr>
          <w:rFonts w:ascii="Palatino Linotype" w:hAnsi="Palatino Linotype"/>
        </w:rPr>
        <w:t>D</w:t>
      </w:r>
      <w:r w:rsidR="000D47F5">
        <w:rPr>
          <w:rFonts w:ascii="Palatino Linotype" w:hAnsi="Palatino Linotype"/>
        </w:rPr>
        <w:t>.1</w:t>
      </w:r>
      <w:r>
        <w:rPr>
          <w:rFonts w:ascii="Palatino Linotype" w:hAnsi="Palatino Linotype"/>
        </w:rPr>
        <w:t xml:space="preserve"> presents the </w:t>
      </w:r>
      <w:r w:rsidRPr="009C7171">
        <w:rPr>
          <w:rFonts w:ascii="Palatino Linotype" w:hAnsi="Palatino Linotype"/>
          <w:i/>
          <w:iCs/>
        </w:rPr>
        <w:t>CS</w:t>
      </w:r>
      <w:r>
        <w:rPr>
          <w:rFonts w:ascii="Palatino Linotype" w:hAnsi="Palatino Linotype"/>
        </w:rPr>
        <w:t xml:space="preserve"> </w:t>
      </w:r>
      <w:r w:rsidR="008E1772">
        <w:rPr>
          <w:rFonts w:ascii="Palatino Linotype" w:hAnsi="Palatino Linotype"/>
        </w:rPr>
        <w:t xml:space="preserve">case-dropping subset bootstrap </w:t>
      </w:r>
      <w:r w:rsidR="009A6AEA">
        <w:rPr>
          <w:rFonts w:ascii="Palatino Linotype" w:hAnsi="Palatino Linotype"/>
        </w:rPr>
        <w:t xml:space="preserve">of the network centrality </w:t>
      </w:r>
      <w:r>
        <w:rPr>
          <w:rFonts w:ascii="Palatino Linotype" w:hAnsi="Palatino Linotype"/>
        </w:rPr>
        <w:t xml:space="preserve">values for the </w:t>
      </w:r>
      <w:r w:rsidR="006714C9">
        <w:rPr>
          <w:rFonts w:ascii="Palatino Linotype" w:hAnsi="Palatino Linotype"/>
        </w:rPr>
        <w:t>20-measure primary CHC network model</w:t>
      </w:r>
      <w:r w:rsidR="00C52F5D">
        <w:rPr>
          <w:rFonts w:ascii="Palatino Linotype" w:hAnsi="Palatino Linotype"/>
        </w:rPr>
        <w:t xml:space="preserve"> as a function of sample size subsets</w:t>
      </w:r>
      <w:proofErr w:type="gramStart"/>
      <w:r w:rsidR="00053BA0">
        <w:rPr>
          <w:rFonts w:ascii="Palatino Linotype" w:hAnsi="Palatino Linotype"/>
        </w:rPr>
        <w:t xml:space="preserve">. </w:t>
      </w:r>
      <w:proofErr w:type="gramEnd"/>
      <w:r w:rsidR="00AB4147">
        <w:rPr>
          <w:rFonts w:ascii="Palatino Linotype" w:hAnsi="Palatino Linotype"/>
        </w:rPr>
        <w:t xml:space="preserve">Although there is no firm criterion, Epskamp et al. (2018) have suggested that for case-dropping subset bootstrap analyses, </w:t>
      </w:r>
      <w:r w:rsidR="00887094">
        <w:rPr>
          <w:rFonts w:ascii="Palatino Linotype" w:hAnsi="Palatino Linotype"/>
        </w:rPr>
        <w:t>if the “correlation completely changes after dropping, say, 10% of the cases, then interpretations of centralities are prone to error</w:t>
      </w:r>
      <w:r w:rsidR="00D4391A">
        <w:rPr>
          <w:rFonts w:ascii="Palatino Linotype" w:hAnsi="Palatino Linotype"/>
        </w:rPr>
        <w:t>”</w:t>
      </w:r>
      <w:r w:rsidR="003A2872">
        <w:rPr>
          <w:rFonts w:ascii="Palatino Linotype" w:hAnsi="Palatino Linotype"/>
        </w:rPr>
        <w:t xml:space="preserve"> (p. 200)</w:t>
      </w:r>
      <w:proofErr w:type="gramStart"/>
      <w:r w:rsidR="00053BA0">
        <w:rPr>
          <w:rFonts w:ascii="Palatino Linotype" w:hAnsi="Palatino Linotype"/>
        </w:rPr>
        <w:t xml:space="preserve">. </w:t>
      </w:r>
      <w:proofErr w:type="gramEnd"/>
      <w:r w:rsidR="0086473A">
        <w:rPr>
          <w:rFonts w:ascii="Palatino Linotype" w:hAnsi="Palatino Linotype"/>
        </w:rPr>
        <w:t>As seen in Fi</w:t>
      </w:r>
      <w:r w:rsidR="00376B9E">
        <w:rPr>
          <w:rFonts w:ascii="Palatino Linotype" w:hAnsi="Palatino Linotype"/>
        </w:rPr>
        <w:t xml:space="preserve">gure </w:t>
      </w:r>
      <w:r w:rsidR="0016423A">
        <w:rPr>
          <w:rFonts w:ascii="Palatino Linotype" w:hAnsi="Palatino Linotype"/>
        </w:rPr>
        <w:t>D</w:t>
      </w:r>
      <w:r w:rsidR="00B4272A">
        <w:rPr>
          <w:rFonts w:ascii="Palatino Linotype" w:hAnsi="Palatino Linotype"/>
        </w:rPr>
        <w:t>.1,</w:t>
      </w:r>
      <w:r w:rsidR="00376B9E">
        <w:rPr>
          <w:rFonts w:ascii="Palatino Linotype" w:hAnsi="Palatino Linotype"/>
        </w:rPr>
        <w:t xml:space="preserve"> all </w:t>
      </w:r>
      <w:r w:rsidR="009D6011">
        <w:rPr>
          <w:rFonts w:ascii="Palatino Linotype" w:hAnsi="Palatino Linotype"/>
        </w:rPr>
        <w:t>CS values for the three centrality metrics</w:t>
      </w:r>
      <w:r w:rsidR="006B420B">
        <w:rPr>
          <w:rFonts w:ascii="Palatino Linotype" w:hAnsi="Palatino Linotype"/>
        </w:rPr>
        <w:t xml:space="preserve"> remain high up to samples with </w:t>
      </w:r>
      <w:r w:rsidR="00DF648C">
        <w:rPr>
          <w:rFonts w:ascii="Palatino Linotype" w:hAnsi="Palatino Linotype"/>
        </w:rPr>
        <w:t>60</w:t>
      </w:r>
      <w:r w:rsidR="006B420B">
        <w:rPr>
          <w:rFonts w:ascii="Palatino Linotype" w:hAnsi="Palatino Linotype"/>
        </w:rPr>
        <w:t>% or more of cases dropped, suggesting stable network centrality indices</w:t>
      </w:r>
      <w:r w:rsidR="00053BA0">
        <w:rPr>
          <w:rFonts w:ascii="Palatino Linotype" w:hAnsi="Palatino Linotype"/>
        </w:rPr>
        <w:t xml:space="preserve">. </w:t>
      </w:r>
    </w:p>
    <w:p w14:paraId="45FA37E9" w14:textId="77777777" w:rsidR="00F93F38" w:rsidRDefault="00F93F38" w:rsidP="00220367">
      <w:pPr>
        <w:spacing w:line="360" w:lineRule="auto"/>
        <w:rPr>
          <w:rFonts w:ascii="Palatino Linotype" w:hAnsi="Palatino Linotype"/>
        </w:rPr>
      </w:pPr>
    </w:p>
    <w:p w14:paraId="27C69C7A" w14:textId="77777777" w:rsidR="00CD6E31" w:rsidRDefault="00CD6E31" w:rsidP="00220367">
      <w:pPr>
        <w:spacing w:line="360" w:lineRule="auto"/>
        <w:rPr>
          <w:rFonts w:ascii="Palatino Linotype" w:hAnsi="Palatino Linotype"/>
          <w:b/>
          <w:bCs/>
        </w:rPr>
      </w:pPr>
    </w:p>
    <w:p w14:paraId="5290E354" w14:textId="77777777" w:rsidR="00CD6E31" w:rsidRDefault="00CD6E31" w:rsidP="00220367">
      <w:pPr>
        <w:spacing w:line="360" w:lineRule="auto"/>
        <w:rPr>
          <w:rFonts w:ascii="Palatino Linotype" w:hAnsi="Palatino Linotype"/>
          <w:b/>
          <w:bCs/>
        </w:rPr>
      </w:pPr>
    </w:p>
    <w:p w14:paraId="61B626B6" w14:textId="77777777" w:rsidR="00CD6E31" w:rsidRDefault="00CD6E31" w:rsidP="00220367">
      <w:pPr>
        <w:spacing w:line="360" w:lineRule="auto"/>
        <w:rPr>
          <w:rFonts w:ascii="Palatino Linotype" w:hAnsi="Palatino Linotype"/>
          <w:b/>
          <w:bCs/>
        </w:rPr>
      </w:pPr>
    </w:p>
    <w:p w14:paraId="7DF9ED6D" w14:textId="77777777" w:rsidR="00CD6E31" w:rsidRDefault="00CD6E31" w:rsidP="00220367">
      <w:pPr>
        <w:spacing w:line="360" w:lineRule="auto"/>
        <w:rPr>
          <w:rFonts w:ascii="Palatino Linotype" w:hAnsi="Palatino Linotype"/>
          <w:b/>
          <w:bCs/>
        </w:rPr>
      </w:pPr>
    </w:p>
    <w:p w14:paraId="0D49DB62" w14:textId="77777777" w:rsidR="00CD6E31" w:rsidRDefault="00CD6E31" w:rsidP="00220367">
      <w:pPr>
        <w:spacing w:line="360" w:lineRule="auto"/>
        <w:rPr>
          <w:rFonts w:ascii="Palatino Linotype" w:hAnsi="Palatino Linotype"/>
          <w:b/>
          <w:bCs/>
        </w:rPr>
      </w:pPr>
    </w:p>
    <w:p w14:paraId="39962074" w14:textId="77777777" w:rsidR="00484792" w:rsidRDefault="00484792" w:rsidP="00220367">
      <w:pPr>
        <w:spacing w:line="360" w:lineRule="auto"/>
        <w:rPr>
          <w:rFonts w:ascii="Palatino Linotype" w:hAnsi="Palatino Linotype"/>
          <w:b/>
          <w:bCs/>
        </w:rPr>
      </w:pPr>
    </w:p>
    <w:p w14:paraId="5BE55B15" w14:textId="77777777" w:rsidR="00484792" w:rsidRDefault="00484792" w:rsidP="00220367">
      <w:pPr>
        <w:spacing w:line="360" w:lineRule="auto"/>
        <w:rPr>
          <w:rFonts w:ascii="Palatino Linotype" w:hAnsi="Palatino Linotype"/>
          <w:b/>
          <w:bCs/>
        </w:rPr>
      </w:pPr>
    </w:p>
    <w:p w14:paraId="47AD4934" w14:textId="4F67CB0C" w:rsidR="00F93F38" w:rsidRPr="009B5399" w:rsidRDefault="00F93F38" w:rsidP="00220367">
      <w:pPr>
        <w:spacing w:line="360" w:lineRule="auto"/>
        <w:rPr>
          <w:rFonts w:ascii="Palatino Linotype" w:hAnsi="Palatino Linotype"/>
          <w:b/>
          <w:bCs/>
        </w:rPr>
      </w:pPr>
      <w:r w:rsidRPr="009B5399">
        <w:rPr>
          <w:rFonts w:ascii="Palatino Linotype" w:hAnsi="Palatino Linotype"/>
          <w:b/>
          <w:bCs/>
        </w:rPr>
        <w:t xml:space="preserve">Figure </w:t>
      </w:r>
      <w:r w:rsidR="0016423A">
        <w:rPr>
          <w:rFonts w:ascii="Palatino Linotype" w:hAnsi="Palatino Linotype"/>
          <w:b/>
          <w:bCs/>
        </w:rPr>
        <w:t>D</w:t>
      </w:r>
      <w:r w:rsidRPr="009B5399">
        <w:rPr>
          <w:rFonts w:ascii="Palatino Linotype" w:hAnsi="Palatino Linotype"/>
          <w:b/>
          <w:bCs/>
        </w:rPr>
        <w:t>.</w:t>
      </w:r>
      <w:r w:rsidR="008C59B1">
        <w:rPr>
          <w:rFonts w:ascii="Palatino Linotype" w:hAnsi="Palatino Linotype"/>
          <w:b/>
          <w:bCs/>
        </w:rPr>
        <w:t>1</w:t>
      </w:r>
    </w:p>
    <w:p w14:paraId="6496920E" w14:textId="0036389E" w:rsidR="00F93F38" w:rsidRPr="009B5399" w:rsidRDefault="009B5399" w:rsidP="00220367">
      <w:pPr>
        <w:spacing w:line="360" w:lineRule="auto"/>
        <w:rPr>
          <w:rFonts w:ascii="Palatino Linotype" w:hAnsi="Palatino Linotype"/>
          <w:i/>
          <w:iCs/>
        </w:rPr>
      </w:pPr>
      <w:r w:rsidRPr="009B5399">
        <w:rPr>
          <w:rFonts w:ascii="Palatino Linotype" w:hAnsi="Palatino Linotype"/>
          <w:i/>
          <w:iCs/>
        </w:rPr>
        <w:t>Case-dropping</w:t>
      </w:r>
      <w:r>
        <w:rPr>
          <w:rFonts w:ascii="Palatino Linotype" w:hAnsi="Palatino Linotype"/>
          <w:i/>
          <w:iCs/>
        </w:rPr>
        <w:t xml:space="preserve"> </w:t>
      </w:r>
      <w:proofErr w:type="spellStart"/>
      <w:r>
        <w:rPr>
          <w:rFonts w:ascii="Palatino Linotype" w:hAnsi="Palatino Linotype"/>
          <w:i/>
          <w:iCs/>
        </w:rPr>
        <w:t>Boostrap</w:t>
      </w:r>
      <w:proofErr w:type="spellEnd"/>
      <w:r w:rsidR="00CD6E31">
        <w:rPr>
          <w:rFonts w:ascii="Palatino Linotype" w:hAnsi="Palatino Linotype"/>
          <w:i/>
          <w:iCs/>
        </w:rPr>
        <w:t xml:space="preserve"> (n = 1000)</w:t>
      </w:r>
      <w:r w:rsidRPr="009B5399">
        <w:rPr>
          <w:rFonts w:ascii="Palatino Linotype" w:hAnsi="Palatino Linotype"/>
          <w:i/>
          <w:iCs/>
        </w:rPr>
        <w:t xml:space="preserve"> </w:t>
      </w:r>
      <w:r w:rsidR="009864BE" w:rsidRPr="009B5399">
        <w:rPr>
          <w:rFonts w:ascii="Palatino Linotype" w:hAnsi="Palatino Linotype"/>
          <w:i/>
          <w:iCs/>
        </w:rPr>
        <w:t>Correlation Stability (CS) Coefficients for 20-measure CHC Network Model</w:t>
      </w:r>
      <w:r w:rsidR="00795339">
        <w:rPr>
          <w:rFonts w:ascii="Palatino Linotype" w:hAnsi="Palatino Linotype"/>
          <w:i/>
          <w:iCs/>
        </w:rPr>
        <w:t xml:space="preserve"> Centrality Indices</w:t>
      </w:r>
      <w:r w:rsidR="009864BE" w:rsidRPr="009B5399">
        <w:rPr>
          <w:rFonts w:ascii="Palatino Linotype" w:hAnsi="Palatino Linotype"/>
          <w:i/>
          <w:iCs/>
        </w:rPr>
        <w:t xml:space="preserve"> </w:t>
      </w:r>
    </w:p>
    <w:p w14:paraId="55526E71" w14:textId="5EF32A8E" w:rsidR="001D7A76" w:rsidRDefault="001D7A76" w:rsidP="00220367">
      <w:pPr>
        <w:spacing w:line="360" w:lineRule="auto"/>
        <w:rPr>
          <w:rFonts w:ascii="Palatino Linotype" w:hAnsi="Palatino Linotype"/>
        </w:rPr>
      </w:pPr>
      <w:r w:rsidRPr="0097789D">
        <w:rPr>
          <w:rFonts w:ascii="Palatino Linotype" w:hAnsi="Palatino Linotype"/>
          <w:noProof/>
        </w:rPr>
        <w:drawing>
          <wp:inline distT="0" distB="0" distL="0" distR="0" wp14:anchorId="31B468BF" wp14:editId="7B5610F5">
            <wp:extent cx="5943600" cy="5943600"/>
            <wp:effectExtent l="0" t="0" r="0" b="0"/>
            <wp:docPr id="1028" name="Picture 4" descr="Chart, line chart&#10;&#10;Description automatically generated">
              <a:extLst xmlns:a="http://schemas.openxmlformats.org/drawingml/2006/main">
                <a:ext uri="{FF2B5EF4-FFF2-40B4-BE49-F238E27FC236}">
                  <a16:creationId xmlns:a16="http://schemas.microsoft.com/office/drawing/2014/main" id="{2E9BD31B-1CC4-4F6A-97AD-CD20E6854C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Chart, line chart&#10;&#10;Description automatically generated">
                      <a:extLst>
                        <a:ext uri="{FF2B5EF4-FFF2-40B4-BE49-F238E27FC236}">
                          <a16:creationId xmlns:a16="http://schemas.microsoft.com/office/drawing/2014/main" id="{2E9BD31B-1CC4-4F6A-97AD-CD20E6854C27}"/>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pic:spPr>
                </pic:pic>
              </a:graphicData>
            </a:graphic>
          </wp:inline>
        </w:drawing>
      </w:r>
    </w:p>
    <w:p w14:paraId="4B0B0FC7" w14:textId="77777777" w:rsidR="0051737B" w:rsidRDefault="0051737B" w:rsidP="00220367">
      <w:pPr>
        <w:spacing w:line="360" w:lineRule="auto"/>
        <w:rPr>
          <w:rFonts w:ascii="Palatino Linotype" w:hAnsi="Palatino Linotype"/>
        </w:rPr>
      </w:pPr>
    </w:p>
    <w:p w14:paraId="15BC8E73" w14:textId="77777777" w:rsidR="0051737B" w:rsidRDefault="0051737B" w:rsidP="00220367">
      <w:pPr>
        <w:spacing w:line="360" w:lineRule="auto"/>
        <w:rPr>
          <w:rFonts w:ascii="Palatino Linotype" w:hAnsi="Palatino Linotype"/>
        </w:rPr>
      </w:pPr>
    </w:p>
    <w:p w14:paraId="3A9C4C48" w14:textId="77777777" w:rsidR="00B17813" w:rsidRDefault="00B17813">
      <w:pPr>
        <w:rPr>
          <w:rFonts w:ascii="Palatino Linotype" w:hAnsi="Palatino Linotype"/>
          <w:b/>
          <w:bCs/>
        </w:rPr>
      </w:pPr>
    </w:p>
    <w:p w14:paraId="1929AF7C" w14:textId="6228A562" w:rsidR="0078119A" w:rsidRPr="0078119A" w:rsidRDefault="0065104D" w:rsidP="00C55637">
      <w:pPr>
        <w:spacing w:after="240" w:line="360" w:lineRule="auto"/>
        <w:jc w:val="center"/>
        <w:rPr>
          <w:rFonts w:ascii="Palatino Linotype" w:hAnsi="Palatino Linotype"/>
          <w:b/>
          <w:bCs/>
        </w:rPr>
      </w:pPr>
      <w:r w:rsidRPr="0078119A">
        <w:rPr>
          <w:rFonts w:ascii="Palatino Linotype" w:hAnsi="Palatino Linotype"/>
          <w:b/>
          <w:bCs/>
        </w:rPr>
        <w:t xml:space="preserve">Appendix </w:t>
      </w:r>
      <w:r w:rsidR="0016423A">
        <w:rPr>
          <w:rFonts w:ascii="Palatino Linotype" w:hAnsi="Palatino Linotype"/>
          <w:b/>
          <w:bCs/>
        </w:rPr>
        <w:t>E</w:t>
      </w:r>
      <w:r w:rsidRPr="0078119A">
        <w:rPr>
          <w:rFonts w:ascii="Palatino Linotype" w:hAnsi="Palatino Linotype"/>
          <w:b/>
          <w:bCs/>
        </w:rPr>
        <w:t>:  2</w:t>
      </w:r>
      <w:r w:rsidR="0078119A" w:rsidRPr="0078119A">
        <w:rPr>
          <w:rFonts w:ascii="Palatino Linotype" w:hAnsi="Palatino Linotype"/>
          <w:b/>
          <w:bCs/>
        </w:rPr>
        <w:t>5</w:t>
      </w:r>
      <w:r w:rsidRPr="0078119A">
        <w:rPr>
          <w:rFonts w:ascii="Palatino Linotype" w:hAnsi="Palatino Linotype"/>
          <w:b/>
          <w:bCs/>
        </w:rPr>
        <w:t>-measure (</w:t>
      </w:r>
      <w:r w:rsidR="00294AF9">
        <w:rPr>
          <w:rFonts w:ascii="Palatino Linotype" w:hAnsi="Palatino Linotype"/>
          <w:b/>
          <w:bCs/>
        </w:rPr>
        <w:t>I</w:t>
      </w:r>
      <w:r w:rsidRPr="0078119A">
        <w:rPr>
          <w:rFonts w:ascii="Palatino Linotype" w:hAnsi="Palatino Linotype"/>
          <w:b/>
          <w:bCs/>
        </w:rPr>
        <w:t xml:space="preserve">nclusive of Gl </w:t>
      </w:r>
      <w:r w:rsidR="00294AF9">
        <w:rPr>
          <w:rFonts w:ascii="Palatino Linotype" w:hAnsi="Palatino Linotype"/>
          <w:b/>
          <w:bCs/>
        </w:rPr>
        <w:t>M</w:t>
      </w:r>
      <w:r w:rsidRPr="0078119A">
        <w:rPr>
          <w:rFonts w:ascii="Palatino Linotype" w:hAnsi="Palatino Linotype"/>
          <w:b/>
          <w:bCs/>
        </w:rPr>
        <w:t xml:space="preserve">easures) </w:t>
      </w:r>
      <w:r w:rsidR="0078119A" w:rsidRPr="0078119A">
        <w:rPr>
          <w:rFonts w:ascii="Palatino Linotype" w:hAnsi="Palatino Linotype"/>
          <w:b/>
          <w:bCs/>
        </w:rPr>
        <w:t>Sensitivity Analysis Results</w:t>
      </w:r>
    </w:p>
    <w:p w14:paraId="192133EC" w14:textId="693AD323" w:rsidR="00FF5600" w:rsidRPr="00F76023" w:rsidRDefault="00FF5600" w:rsidP="002631F7">
      <w:pPr>
        <w:spacing w:after="240" w:line="360" w:lineRule="auto"/>
        <w:ind w:firstLine="720"/>
        <w:rPr>
          <w:rFonts w:ascii="Palatino Linotype" w:hAnsi="Palatino Linotype"/>
        </w:rPr>
      </w:pPr>
      <w:r>
        <w:rPr>
          <w:rFonts w:ascii="Palatino Linotype" w:hAnsi="Palatino Linotype"/>
        </w:rPr>
        <w:t xml:space="preserve">Figures </w:t>
      </w:r>
      <w:r w:rsidR="00F704E9">
        <w:rPr>
          <w:rFonts w:ascii="Palatino Linotype" w:hAnsi="Palatino Linotype"/>
        </w:rPr>
        <w:t>E</w:t>
      </w:r>
      <w:r w:rsidR="0078119A">
        <w:rPr>
          <w:rFonts w:ascii="Palatino Linotype" w:hAnsi="Palatino Linotype"/>
        </w:rPr>
        <w:t>.1</w:t>
      </w:r>
      <w:r>
        <w:rPr>
          <w:rFonts w:ascii="Palatino Linotype" w:hAnsi="Palatino Linotype"/>
        </w:rPr>
        <w:t xml:space="preserve"> and </w:t>
      </w:r>
      <w:r w:rsidR="00F704E9">
        <w:rPr>
          <w:rFonts w:ascii="Palatino Linotype" w:hAnsi="Palatino Linotype"/>
        </w:rPr>
        <w:t>E</w:t>
      </w:r>
      <w:r w:rsidR="0078119A">
        <w:rPr>
          <w:rFonts w:ascii="Palatino Linotype" w:hAnsi="Palatino Linotype"/>
        </w:rPr>
        <w:t>.2</w:t>
      </w:r>
      <w:r>
        <w:rPr>
          <w:rFonts w:ascii="Palatino Linotype" w:hAnsi="Palatino Linotype"/>
        </w:rPr>
        <w:t xml:space="preserve"> present the psychometric network model and the MDS+MST figures for the second sensitivity analysis model that, in addition to including all measures from the 23-measure sensitivity model, also included the apriori excluded WJ IV Gl measures</w:t>
      </w:r>
      <w:proofErr w:type="gramStart"/>
      <w:r>
        <w:rPr>
          <w:rFonts w:ascii="Palatino Linotype" w:hAnsi="Palatino Linotype"/>
        </w:rPr>
        <w:t xml:space="preserve">. </w:t>
      </w:r>
      <w:proofErr w:type="gramEnd"/>
      <w:r>
        <w:rPr>
          <w:rFonts w:ascii="Palatino Linotype" w:hAnsi="Palatino Linotype"/>
        </w:rPr>
        <w:t xml:space="preserve">In both Figures </w:t>
      </w:r>
      <w:r w:rsidR="00BF3EEC">
        <w:rPr>
          <w:rFonts w:ascii="Palatino Linotype" w:hAnsi="Palatino Linotype"/>
        </w:rPr>
        <w:t>E</w:t>
      </w:r>
      <w:r w:rsidR="006D4402">
        <w:rPr>
          <w:rFonts w:ascii="Palatino Linotype" w:hAnsi="Palatino Linotype"/>
        </w:rPr>
        <w:t xml:space="preserve">.1 </w:t>
      </w:r>
      <w:r>
        <w:rPr>
          <w:rFonts w:ascii="Palatino Linotype" w:hAnsi="Palatino Linotype"/>
        </w:rPr>
        <w:t xml:space="preserve">and </w:t>
      </w:r>
      <w:r w:rsidR="00BF3EEC">
        <w:rPr>
          <w:rFonts w:ascii="Palatino Linotype" w:hAnsi="Palatino Linotype"/>
        </w:rPr>
        <w:t>E</w:t>
      </w:r>
      <w:r w:rsidR="006D4402">
        <w:rPr>
          <w:rFonts w:ascii="Palatino Linotype" w:hAnsi="Palatino Linotype"/>
        </w:rPr>
        <w:t>.2</w:t>
      </w:r>
      <w:r>
        <w:rPr>
          <w:rFonts w:ascii="Palatino Linotype" w:hAnsi="Palatino Linotype"/>
        </w:rPr>
        <w:t xml:space="preserve"> the Visual-Auditory Learning and Story Recall measures fail to suggest a common dimension</w:t>
      </w:r>
      <w:proofErr w:type="gramStart"/>
      <w:r w:rsidR="00053BA0">
        <w:rPr>
          <w:rFonts w:ascii="Palatino Linotype" w:hAnsi="Palatino Linotype"/>
        </w:rPr>
        <w:t xml:space="preserve">. </w:t>
      </w:r>
      <w:proofErr w:type="gramEnd"/>
      <w:r>
        <w:rPr>
          <w:rFonts w:ascii="Palatino Linotype" w:hAnsi="Palatino Linotype"/>
        </w:rPr>
        <w:t>They are clearly not close neighbors in the two visual network figures</w:t>
      </w:r>
      <w:proofErr w:type="gramStart"/>
      <w:r w:rsidR="00053BA0">
        <w:rPr>
          <w:rFonts w:ascii="Palatino Linotype" w:hAnsi="Palatino Linotype"/>
        </w:rPr>
        <w:t xml:space="preserve">. </w:t>
      </w:r>
      <w:proofErr w:type="gramEnd"/>
      <w:r>
        <w:rPr>
          <w:rFonts w:ascii="Palatino Linotype" w:hAnsi="Palatino Linotype"/>
        </w:rPr>
        <w:t>These findings suggest that the robust seven CHC broad ability dimension model in the primary analysis is diminished by the inclusion of these two WJ IV Gl measures</w:t>
      </w:r>
      <w:proofErr w:type="gramStart"/>
      <w:r w:rsidR="00053BA0">
        <w:rPr>
          <w:rFonts w:ascii="Palatino Linotype" w:hAnsi="Palatino Linotype"/>
        </w:rPr>
        <w:t xml:space="preserve">. </w:t>
      </w:r>
      <w:proofErr w:type="gramEnd"/>
      <w:r>
        <w:rPr>
          <w:rFonts w:ascii="Palatino Linotype" w:hAnsi="Palatino Linotype"/>
        </w:rPr>
        <w:t>These findings suggest either that the WJ IV Gl measures are not strong indicators of the broad Gl ability, or the definition and validity of the CHC broad Gl ability warrants additional scrutiny.</w:t>
      </w:r>
    </w:p>
    <w:p w14:paraId="29D1B150" w14:textId="77777777" w:rsidR="00FF5600" w:rsidRDefault="00FF5600" w:rsidP="00FF5600">
      <w:pPr>
        <w:rPr>
          <w:rFonts w:ascii="Palatino Linotype" w:hAnsi="Palatino Linotype"/>
          <w:b/>
          <w:bCs/>
        </w:rPr>
      </w:pPr>
    </w:p>
    <w:p w14:paraId="6C8C15F6" w14:textId="77777777" w:rsidR="00FF5600" w:rsidRPr="0067194F" w:rsidRDefault="00FF5600" w:rsidP="00FF5600">
      <w:pPr>
        <w:rPr>
          <w:rFonts w:ascii="Palatino Linotype" w:hAnsi="Palatino Linotype"/>
          <w:b/>
          <w:bCs/>
        </w:rPr>
      </w:pPr>
    </w:p>
    <w:p w14:paraId="55337EA5" w14:textId="77777777" w:rsidR="00FF5600" w:rsidRPr="0097789D" w:rsidRDefault="00FF5600" w:rsidP="00FF5600">
      <w:pPr>
        <w:rPr>
          <w:rFonts w:ascii="Palatino Linotype" w:hAnsi="Palatino Linotype"/>
        </w:rPr>
      </w:pPr>
    </w:p>
    <w:p w14:paraId="338E5895" w14:textId="77777777" w:rsidR="00FF5600" w:rsidRDefault="00FF5600" w:rsidP="00FF5600">
      <w:pPr>
        <w:spacing w:after="240" w:line="360" w:lineRule="auto"/>
        <w:rPr>
          <w:rFonts w:ascii="Palatino Linotype" w:hAnsi="Palatino Linotype"/>
        </w:rPr>
      </w:pPr>
    </w:p>
    <w:p w14:paraId="76E92165" w14:textId="77777777" w:rsidR="00FF5600" w:rsidRDefault="00FF5600" w:rsidP="00FF5600">
      <w:pPr>
        <w:rPr>
          <w:rFonts w:ascii="Palatino Linotype" w:hAnsi="Palatino Linotype"/>
          <w:b/>
          <w:bCs/>
        </w:rPr>
      </w:pPr>
      <w:r>
        <w:rPr>
          <w:rFonts w:ascii="Palatino Linotype" w:hAnsi="Palatino Linotype"/>
          <w:b/>
          <w:bCs/>
        </w:rPr>
        <w:br w:type="page"/>
      </w:r>
    </w:p>
    <w:p w14:paraId="68B314A7" w14:textId="1E1518F4" w:rsidR="00FF5600" w:rsidRDefault="00FF5600" w:rsidP="00FF5600">
      <w:pPr>
        <w:rPr>
          <w:rFonts w:ascii="Palatino Linotype" w:hAnsi="Palatino Linotype"/>
          <w:b/>
          <w:bCs/>
        </w:rPr>
      </w:pPr>
      <w:r w:rsidRPr="0067194F">
        <w:rPr>
          <w:rFonts w:ascii="Palatino Linotype" w:hAnsi="Palatino Linotype"/>
          <w:b/>
          <w:bCs/>
        </w:rPr>
        <w:lastRenderedPageBreak/>
        <w:t xml:space="preserve">Figure </w:t>
      </w:r>
      <w:r w:rsidR="001E4D2E">
        <w:rPr>
          <w:rFonts w:ascii="Palatino Linotype" w:hAnsi="Palatino Linotype"/>
          <w:b/>
          <w:bCs/>
        </w:rPr>
        <w:t>E</w:t>
      </w:r>
      <w:r w:rsidR="002B0CD6">
        <w:rPr>
          <w:rFonts w:ascii="Palatino Linotype" w:hAnsi="Palatino Linotype"/>
          <w:b/>
          <w:bCs/>
        </w:rPr>
        <w:t>.1</w:t>
      </w:r>
    </w:p>
    <w:p w14:paraId="392C3956" w14:textId="77777777" w:rsidR="00FF5600" w:rsidRPr="00FA24B0" w:rsidRDefault="00FF5600" w:rsidP="00FF5600">
      <w:pPr>
        <w:spacing w:after="240" w:line="360" w:lineRule="auto"/>
        <w:rPr>
          <w:rFonts w:ascii="Palatino Linotype" w:hAnsi="Palatino Linotype"/>
          <w:i/>
          <w:iCs/>
        </w:rPr>
      </w:pPr>
      <w:r w:rsidRPr="00FA24B0">
        <w:rPr>
          <w:rFonts w:ascii="Palatino Linotype" w:hAnsi="Palatino Linotype"/>
          <w:i/>
          <w:iCs/>
        </w:rPr>
        <w:t>Weighted undirected network structure of 25 select WJ IV measures of nine broad CHC ability domains in secondary sensitivity network model</w:t>
      </w:r>
    </w:p>
    <w:p w14:paraId="70A07CF1" w14:textId="77777777" w:rsidR="00FF5600" w:rsidRDefault="00FF5600" w:rsidP="00FF5600">
      <w:pPr>
        <w:spacing w:after="240" w:line="360" w:lineRule="auto"/>
        <w:rPr>
          <w:rFonts w:ascii="Palatino Linotype" w:hAnsi="Palatino Linotype"/>
        </w:rPr>
      </w:pPr>
    </w:p>
    <w:p w14:paraId="57E62E8C" w14:textId="77777777" w:rsidR="00FF5600" w:rsidRDefault="00FF5600" w:rsidP="00FF5600">
      <w:pPr>
        <w:spacing w:after="240" w:line="360" w:lineRule="auto"/>
        <w:jc w:val="center"/>
        <w:rPr>
          <w:rFonts w:ascii="Palatino Linotype" w:hAnsi="Palatino Linotype"/>
        </w:rPr>
      </w:pPr>
      <w:r w:rsidRPr="002C059A">
        <w:rPr>
          <w:rFonts w:ascii="Palatino Linotype" w:hAnsi="Palatino Linotype"/>
          <w:noProof/>
        </w:rPr>
        <w:drawing>
          <wp:inline distT="0" distB="0" distL="0" distR="0" wp14:anchorId="2E67FECA" wp14:editId="66A65423">
            <wp:extent cx="5286924" cy="4680284"/>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0"/>
                    <a:stretch>
                      <a:fillRect/>
                    </a:stretch>
                  </pic:blipFill>
                  <pic:spPr>
                    <a:xfrm>
                      <a:off x="0" y="0"/>
                      <a:ext cx="5286924" cy="4680284"/>
                    </a:xfrm>
                    <a:prstGeom prst="rect">
                      <a:avLst/>
                    </a:prstGeom>
                  </pic:spPr>
                </pic:pic>
              </a:graphicData>
            </a:graphic>
          </wp:inline>
        </w:drawing>
      </w:r>
    </w:p>
    <w:p w14:paraId="34949A96" w14:textId="77777777" w:rsidR="00FF5600" w:rsidRDefault="00FF5600" w:rsidP="00FF5600">
      <w:pPr>
        <w:spacing w:after="240" w:line="360" w:lineRule="auto"/>
        <w:jc w:val="center"/>
        <w:rPr>
          <w:rFonts w:ascii="Palatino Linotype" w:hAnsi="Palatino Linotype"/>
        </w:rPr>
      </w:pPr>
    </w:p>
    <w:p w14:paraId="43FB2B48" w14:textId="77777777" w:rsidR="00FF5600" w:rsidRDefault="00FF5600" w:rsidP="00FF5600">
      <w:pPr>
        <w:spacing w:after="240" w:line="360" w:lineRule="auto"/>
        <w:rPr>
          <w:rFonts w:ascii="Palatino Linotype" w:hAnsi="Palatino Linotype"/>
          <w:b/>
          <w:bCs/>
        </w:rPr>
      </w:pPr>
    </w:p>
    <w:p w14:paraId="15B84B3E" w14:textId="77777777" w:rsidR="00FF5600" w:rsidRDefault="00FF5600" w:rsidP="00FF5600">
      <w:pPr>
        <w:spacing w:after="240" w:line="360" w:lineRule="auto"/>
        <w:rPr>
          <w:rFonts w:ascii="Palatino Linotype" w:hAnsi="Palatino Linotype"/>
          <w:b/>
          <w:bCs/>
        </w:rPr>
      </w:pPr>
    </w:p>
    <w:p w14:paraId="5A2B3415" w14:textId="77777777" w:rsidR="00FF5600" w:rsidRDefault="00FF5600" w:rsidP="00FF5600">
      <w:pPr>
        <w:spacing w:after="240" w:line="360" w:lineRule="auto"/>
        <w:rPr>
          <w:rFonts w:ascii="Palatino Linotype" w:hAnsi="Palatino Linotype"/>
          <w:b/>
          <w:bCs/>
        </w:rPr>
      </w:pPr>
    </w:p>
    <w:p w14:paraId="4679EA10" w14:textId="67482632" w:rsidR="00FF5600" w:rsidRDefault="00FF5600" w:rsidP="00FF5600">
      <w:pPr>
        <w:spacing w:after="240" w:line="360" w:lineRule="auto"/>
        <w:rPr>
          <w:rFonts w:ascii="Palatino Linotype" w:hAnsi="Palatino Linotype"/>
          <w:b/>
          <w:bCs/>
        </w:rPr>
      </w:pPr>
      <w:r w:rsidRPr="00763CE3">
        <w:rPr>
          <w:rFonts w:ascii="Palatino Linotype" w:hAnsi="Palatino Linotype"/>
          <w:b/>
          <w:bCs/>
        </w:rPr>
        <w:lastRenderedPageBreak/>
        <w:t xml:space="preserve">Figure </w:t>
      </w:r>
      <w:r w:rsidR="001E4D2E">
        <w:rPr>
          <w:rFonts w:ascii="Palatino Linotype" w:hAnsi="Palatino Linotype"/>
          <w:b/>
          <w:bCs/>
        </w:rPr>
        <w:t>E</w:t>
      </w:r>
      <w:r w:rsidR="002B0CD6">
        <w:rPr>
          <w:rFonts w:ascii="Palatino Linotype" w:hAnsi="Palatino Linotype"/>
          <w:b/>
          <w:bCs/>
        </w:rPr>
        <w:t>.2</w:t>
      </w:r>
    </w:p>
    <w:p w14:paraId="4E1538E2" w14:textId="77777777" w:rsidR="00FF5600" w:rsidRPr="00A813AD" w:rsidRDefault="00FF5600" w:rsidP="00FF5600">
      <w:pPr>
        <w:spacing w:after="240" w:line="360" w:lineRule="auto"/>
        <w:rPr>
          <w:rFonts w:ascii="Palatino Linotype" w:hAnsi="Palatino Linotype"/>
          <w:i/>
          <w:iCs/>
        </w:rPr>
      </w:pPr>
      <w:r w:rsidRPr="00FA24B0">
        <w:rPr>
          <w:rFonts w:ascii="Palatino Linotype" w:hAnsi="Palatino Linotype"/>
          <w:i/>
          <w:iCs/>
        </w:rPr>
        <w:t>2-D multidimensional scaling analysis (Guttman Radex) of 25-measure secondary sensitivity model connected by minimal spanning tree algorithm</w:t>
      </w:r>
    </w:p>
    <w:p w14:paraId="1F342479" w14:textId="77777777" w:rsidR="00FF5600" w:rsidRDefault="00FF5600" w:rsidP="00FF5600">
      <w:pPr>
        <w:spacing w:after="240" w:line="360" w:lineRule="auto"/>
        <w:jc w:val="center"/>
        <w:rPr>
          <w:rFonts w:ascii="Palatino Linotype" w:hAnsi="Palatino Linotype"/>
        </w:rPr>
      </w:pPr>
      <w:r w:rsidRPr="00B6698B">
        <w:rPr>
          <w:rFonts w:ascii="Palatino Linotype" w:hAnsi="Palatino Linotype"/>
          <w:noProof/>
        </w:rPr>
        <w:drawing>
          <wp:inline distT="0" distB="0" distL="0" distR="0" wp14:anchorId="15F6AADE" wp14:editId="3305CC8F">
            <wp:extent cx="5553771" cy="5598866"/>
            <wp:effectExtent l="0" t="0" r="8890" b="1905"/>
            <wp:docPr id="24" name="Picture 24"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icture containing chart&#10;&#10;Description automatically generated"/>
                    <pic:cNvPicPr/>
                  </pic:nvPicPr>
                  <pic:blipFill>
                    <a:blip r:embed="rId11"/>
                    <a:stretch>
                      <a:fillRect/>
                    </a:stretch>
                  </pic:blipFill>
                  <pic:spPr>
                    <a:xfrm>
                      <a:off x="0" y="0"/>
                      <a:ext cx="5569641" cy="5614865"/>
                    </a:xfrm>
                    <a:prstGeom prst="rect">
                      <a:avLst/>
                    </a:prstGeom>
                  </pic:spPr>
                </pic:pic>
              </a:graphicData>
            </a:graphic>
          </wp:inline>
        </w:drawing>
      </w:r>
    </w:p>
    <w:p w14:paraId="1BC1A93F" w14:textId="34DF76A2" w:rsidR="00DD0FDF" w:rsidRPr="00B53D2C" w:rsidRDefault="007B3441" w:rsidP="00D25AAE">
      <w:pPr>
        <w:jc w:val="center"/>
        <w:rPr>
          <w:rFonts w:ascii="Palatino Linotype" w:hAnsi="Palatino Linotype"/>
        </w:rPr>
      </w:pPr>
      <w:r>
        <w:rPr>
          <w:rFonts w:ascii="Palatino Linotype" w:hAnsi="Palatino Linotype"/>
        </w:rPr>
        <w:br w:type="page"/>
      </w:r>
      <w:r w:rsidR="007D29D6" w:rsidRPr="007D29D6">
        <w:rPr>
          <w:rFonts w:ascii="Palatino Linotype" w:hAnsi="Palatino Linotype"/>
          <w:b/>
          <w:bCs/>
        </w:rPr>
        <w:lastRenderedPageBreak/>
        <w:t xml:space="preserve">Appendix F:  Psychometric </w:t>
      </w:r>
      <w:r w:rsidR="007D29D6" w:rsidRPr="00DD0FDF">
        <w:rPr>
          <w:rFonts w:ascii="Palatino Linotype" w:hAnsi="Palatino Linotype"/>
          <w:b/>
          <w:bCs/>
          <w:i/>
          <w:iCs/>
        </w:rPr>
        <w:t>g</w:t>
      </w:r>
      <w:r w:rsidR="007D29D6" w:rsidRPr="007D29D6">
        <w:rPr>
          <w:rFonts w:ascii="Palatino Linotype" w:hAnsi="Palatino Linotype"/>
          <w:b/>
          <w:bCs/>
        </w:rPr>
        <w:t>-loading</w:t>
      </w:r>
      <w:r w:rsidR="007D29D6">
        <w:rPr>
          <w:rFonts w:ascii="Palatino Linotype" w:hAnsi="Palatino Linotype"/>
          <w:b/>
          <w:bCs/>
        </w:rPr>
        <w:t xml:space="preserve">s for 20 </w:t>
      </w:r>
      <w:r w:rsidR="00DD0FDF">
        <w:rPr>
          <w:rFonts w:ascii="Palatino Linotype" w:hAnsi="Palatino Linotype"/>
          <w:b/>
          <w:bCs/>
        </w:rPr>
        <w:t xml:space="preserve">Primary </w:t>
      </w:r>
      <w:r w:rsidR="007D29D6">
        <w:rPr>
          <w:rFonts w:ascii="Palatino Linotype" w:hAnsi="Palatino Linotype"/>
          <w:b/>
          <w:bCs/>
        </w:rPr>
        <w:t>Measures</w:t>
      </w:r>
    </w:p>
    <w:p w14:paraId="7EC896FE" w14:textId="7BD6EE6E" w:rsidR="00D25AAE" w:rsidRDefault="00B53D2C" w:rsidP="00D25AAE">
      <w:pPr>
        <w:spacing w:line="360" w:lineRule="auto"/>
        <w:rPr>
          <w:rFonts w:ascii="Palatino Linotype" w:hAnsi="Palatino Linotype"/>
          <w:b/>
          <w:bCs/>
        </w:rPr>
      </w:pPr>
      <w:r>
        <w:rPr>
          <w:rFonts w:ascii="Palatino Linotype" w:hAnsi="Palatino Linotype"/>
          <w:b/>
          <w:bCs/>
        </w:rPr>
        <w:t>Table F.1</w:t>
      </w:r>
      <w:bookmarkStart w:id="1" w:name="_Hlk114577066"/>
    </w:p>
    <w:p w14:paraId="7F85DA08" w14:textId="6DEDF950" w:rsidR="00D25AAE" w:rsidRPr="00D25AAE" w:rsidRDefault="00D25AAE" w:rsidP="00D25AAE">
      <w:pPr>
        <w:spacing w:line="360" w:lineRule="auto"/>
        <w:rPr>
          <w:rFonts w:ascii="Palatino Linotype" w:hAnsi="Palatino Linotype"/>
          <w:i/>
          <w:iCs/>
        </w:rPr>
      </w:pPr>
      <w:r w:rsidRPr="00D25AAE">
        <w:rPr>
          <w:rFonts w:ascii="Palatino Linotype" w:hAnsi="Palatino Linotype"/>
          <w:i/>
          <w:iCs/>
        </w:rPr>
        <w:t>Psychometric g-loadings for 20 primary measures</w:t>
      </w:r>
    </w:p>
    <w:tbl>
      <w:tblPr>
        <w:tblW w:w="5164" w:type="dxa"/>
        <w:tblInd w:w="1590" w:type="dxa"/>
        <w:tblLook w:val="04A0" w:firstRow="1" w:lastRow="0" w:firstColumn="1" w:lastColumn="0" w:noHBand="0" w:noVBand="1"/>
      </w:tblPr>
      <w:tblGrid>
        <w:gridCol w:w="2080"/>
        <w:gridCol w:w="110"/>
        <w:gridCol w:w="1008"/>
        <w:gridCol w:w="776"/>
        <w:gridCol w:w="660"/>
        <w:gridCol w:w="640"/>
      </w:tblGrid>
      <w:tr w:rsidR="00D25AAE" w:rsidRPr="00D25AAE" w14:paraId="5246960A" w14:textId="77777777" w:rsidTr="00D25AAE">
        <w:trPr>
          <w:trHeight w:val="600"/>
        </w:trPr>
        <w:tc>
          <w:tcPr>
            <w:tcW w:w="2080" w:type="dxa"/>
            <w:tcBorders>
              <w:top w:val="single" w:sz="4" w:space="0" w:color="auto"/>
              <w:left w:val="nil"/>
              <w:bottom w:val="single" w:sz="4" w:space="0" w:color="auto"/>
              <w:right w:val="nil"/>
            </w:tcBorders>
            <w:shd w:val="clear" w:color="auto" w:fill="auto"/>
            <w:noWrap/>
            <w:vAlign w:val="bottom"/>
            <w:hideMark/>
          </w:tcPr>
          <w:p w14:paraId="57E4CE2E"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1008" w:type="dxa"/>
            <w:gridSpan w:val="2"/>
            <w:tcBorders>
              <w:top w:val="single" w:sz="4" w:space="0" w:color="auto"/>
              <w:left w:val="nil"/>
              <w:bottom w:val="single" w:sz="4" w:space="0" w:color="auto"/>
              <w:right w:val="nil"/>
            </w:tcBorders>
            <w:shd w:val="clear" w:color="auto" w:fill="auto"/>
            <w:noWrap/>
            <w:vAlign w:val="bottom"/>
            <w:hideMark/>
          </w:tcPr>
          <w:p w14:paraId="7FC6AAA6"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14:paraId="038DB0BF"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1300" w:type="dxa"/>
            <w:gridSpan w:val="2"/>
            <w:tcBorders>
              <w:top w:val="single" w:sz="4" w:space="0" w:color="auto"/>
              <w:left w:val="nil"/>
              <w:bottom w:val="single" w:sz="4" w:space="0" w:color="auto"/>
              <w:right w:val="nil"/>
            </w:tcBorders>
            <w:shd w:val="clear" w:color="auto" w:fill="auto"/>
            <w:vAlign w:val="center"/>
            <w:hideMark/>
          </w:tcPr>
          <w:p w14:paraId="6DC24E66" w14:textId="77777777" w:rsidR="00D25AAE" w:rsidRPr="00D25AAE" w:rsidRDefault="00D25AAE" w:rsidP="00D25AAE">
            <w:pPr>
              <w:spacing w:after="0" w:line="240" w:lineRule="auto"/>
              <w:jc w:val="center"/>
              <w:rPr>
                <w:rFonts w:ascii="Palatino Linotype" w:eastAsia="Times New Roman" w:hAnsi="Palatino Linotype" w:cs="Calibri"/>
                <w:b/>
                <w:bCs/>
                <w:color w:val="000000"/>
                <w:sz w:val="16"/>
                <w:szCs w:val="16"/>
              </w:rPr>
            </w:pPr>
            <w:r w:rsidRPr="00D25AAE">
              <w:rPr>
                <w:rFonts w:ascii="Palatino Linotype" w:eastAsia="Times New Roman" w:hAnsi="Palatino Linotype" w:cs="Calibri"/>
                <w:b/>
                <w:bCs/>
                <w:color w:val="000000"/>
                <w:sz w:val="16"/>
                <w:szCs w:val="16"/>
              </w:rPr>
              <w:t xml:space="preserve">Psychometric </w:t>
            </w:r>
            <w:r w:rsidRPr="00D25AAE">
              <w:rPr>
                <w:rFonts w:ascii="Palatino Linotype" w:eastAsia="Times New Roman" w:hAnsi="Palatino Linotype" w:cs="Calibri"/>
                <w:b/>
                <w:bCs/>
                <w:i/>
                <w:iCs/>
                <w:color w:val="000000"/>
                <w:sz w:val="16"/>
                <w:szCs w:val="16"/>
              </w:rPr>
              <w:t>g</w:t>
            </w:r>
            <w:r w:rsidRPr="00D25AAE">
              <w:rPr>
                <w:rFonts w:ascii="Palatino Linotype" w:eastAsia="Times New Roman" w:hAnsi="Palatino Linotype" w:cs="Calibri"/>
                <w:b/>
                <w:bCs/>
                <w:color w:val="000000"/>
                <w:sz w:val="16"/>
                <w:szCs w:val="16"/>
              </w:rPr>
              <w:t>-loadings</w:t>
            </w:r>
          </w:p>
        </w:tc>
      </w:tr>
      <w:tr w:rsidR="00D25AAE" w:rsidRPr="00D25AAE" w14:paraId="4F088319" w14:textId="77777777" w:rsidTr="00D25AAE">
        <w:trPr>
          <w:trHeight w:val="615"/>
        </w:trPr>
        <w:tc>
          <w:tcPr>
            <w:tcW w:w="2080" w:type="dxa"/>
            <w:tcBorders>
              <w:top w:val="nil"/>
              <w:left w:val="nil"/>
              <w:bottom w:val="single" w:sz="4" w:space="0" w:color="auto"/>
              <w:right w:val="nil"/>
            </w:tcBorders>
            <w:shd w:val="clear" w:color="auto" w:fill="auto"/>
            <w:vAlign w:val="center"/>
            <w:hideMark/>
          </w:tcPr>
          <w:p w14:paraId="78F6E88D" w14:textId="77777777" w:rsidR="00D25AAE" w:rsidRPr="00D25AAE" w:rsidRDefault="00D25AAE" w:rsidP="00D25AAE">
            <w:pPr>
              <w:spacing w:after="0" w:line="240" w:lineRule="auto"/>
              <w:jc w:val="center"/>
              <w:rPr>
                <w:rFonts w:ascii="Palatino Linotype" w:eastAsia="Times New Roman" w:hAnsi="Palatino Linotype" w:cs="Calibri"/>
                <w:b/>
                <w:bCs/>
                <w:color w:val="000000"/>
                <w:sz w:val="16"/>
                <w:szCs w:val="16"/>
              </w:rPr>
            </w:pPr>
            <w:r w:rsidRPr="00D25AAE">
              <w:rPr>
                <w:rFonts w:ascii="Palatino Linotype" w:eastAsia="Times New Roman" w:hAnsi="Palatino Linotype" w:cs="Calibri"/>
                <w:b/>
                <w:bCs/>
                <w:color w:val="000000"/>
                <w:sz w:val="16"/>
                <w:szCs w:val="16"/>
              </w:rPr>
              <w:t>WJ IV Measure</w:t>
            </w:r>
          </w:p>
        </w:tc>
        <w:tc>
          <w:tcPr>
            <w:tcW w:w="1008" w:type="dxa"/>
            <w:gridSpan w:val="2"/>
            <w:tcBorders>
              <w:top w:val="nil"/>
              <w:left w:val="nil"/>
              <w:bottom w:val="single" w:sz="4" w:space="0" w:color="auto"/>
              <w:right w:val="nil"/>
            </w:tcBorders>
            <w:shd w:val="clear" w:color="auto" w:fill="auto"/>
            <w:vAlign w:val="center"/>
            <w:hideMark/>
          </w:tcPr>
          <w:p w14:paraId="33447125" w14:textId="77777777" w:rsidR="00D25AAE" w:rsidRPr="00D25AAE" w:rsidRDefault="00D25AAE" w:rsidP="00D25AAE">
            <w:pPr>
              <w:spacing w:after="0" w:line="240" w:lineRule="auto"/>
              <w:jc w:val="center"/>
              <w:rPr>
                <w:rFonts w:ascii="Palatino Linotype" w:eastAsia="Times New Roman" w:hAnsi="Palatino Linotype" w:cs="Calibri"/>
                <w:b/>
                <w:bCs/>
                <w:color w:val="000000"/>
                <w:sz w:val="16"/>
                <w:szCs w:val="16"/>
              </w:rPr>
            </w:pPr>
            <w:proofErr w:type="spellStart"/>
            <w:r w:rsidRPr="00D25AAE">
              <w:rPr>
                <w:rFonts w:ascii="Palatino Linotype" w:eastAsia="Times New Roman" w:hAnsi="Palatino Linotype" w:cs="Calibri"/>
                <w:b/>
                <w:bCs/>
                <w:color w:val="000000"/>
                <w:sz w:val="16"/>
                <w:szCs w:val="16"/>
              </w:rPr>
              <w:t>Abbrevia-tion</w:t>
            </w:r>
            <w:proofErr w:type="spellEnd"/>
          </w:p>
        </w:tc>
        <w:tc>
          <w:tcPr>
            <w:tcW w:w="776" w:type="dxa"/>
            <w:tcBorders>
              <w:top w:val="nil"/>
              <w:left w:val="nil"/>
              <w:bottom w:val="single" w:sz="4" w:space="0" w:color="auto"/>
              <w:right w:val="single" w:sz="4" w:space="0" w:color="auto"/>
            </w:tcBorders>
            <w:shd w:val="clear" w:color="auto" w:fill="auto"/>
            <w:vAlign w:val="center"/>
            <w:hideMark/>
          </w:tcPr>
          <w:p w14:paraId="63B55F19" w14:textId="77777777" w:rsidR="00D25AAE" w:rsidRPr="00D25AAE" w:rsidRDefault="00D25AAE" w:rsidP="00D25AAE">
            <w:pPr>
              <w:spacing w:after="0" w:line="240" w:lineRule="auto"/>
              <w:jc w:val="center"/>
              <w:rPr>
                <w:rFonts w:ascii="Palatino Linotype" w:eastAsia="Times New Roman" w:hAnsi="Palatino Linotype" w:cs="Calibri"/>
                <w:b/>
                <w:bCs/>
                <w:color w:val="000000"/>
                <w:sz w:val="16"/>
                <w:szCs w:val="16"/>
              </w:rPr>
            </w:pPr>
            <w:r w:rsidRPr="00D25AAE">
              <w:rPr>
                <w:rFonts w:ascii="Palatino Linotype" w:eastAsia="Times New Roman" w:hAnsi="Palatino Linotype" w:cs="Calibri"/>
                <w:b/>
                <w:bCs/>
                <w:color w:val="000000"/>
                <w:sz w:val="16"/>
                <w:szCs w:val="16"/>
              </w:rPr>
              <w:t>CHC  domain</w:t>
            </w:r>
          </w:p>
        </w:tc>
        <w:tc>
          <w:tcPr>
            <w:tcW w:w="660" w:type="dxa"/>
            <w:tcBorders>
              <w:top w:val="nil"/>
              <w:left w:val="nil"/>
              <w:bottom w:val="nil"/>
              <w:right w:val="nil"/>
            </w:tcBorders>
            <w:shd w:val="clear" w:color="auto" w:fill="auto"/>
            <w:vAlign w:val="center"/>
            <w:hideMark/>
          </w:tcPr>
          <w:p w14:paraId="400E26F0" w14:textId="77777777" w:rsidR="00D25AAE" w:rsidRPr="00D25AAE" w:rsidRDefault="00D25AAE" w:rsidP="00D25AAE">
            <w:pPr>
              <w:spacing w:after="0" w:line="240" w:lineRule="auto"/>
              <w:jc w:val="center"/>
              <w:rPr>
                <w:rFonts w:ascii="Palatino Linotype" w:eastAsia="Times New Roman" w:hAnsi="Palatino Linotype" w:cs="Calibri"/>
                <w:b/>
                <w:bCs/>
                <w:color w:val="000000"/>
                <w:sz w:val="16"/>
                <w:szCs w:val="16"/>
              </w:rPr>
            </w:pPr>
            <w:r w:rsidRPr="00D25AAE">
              <w:rPr>
                <w:rFonts w:ascii="Palatino Linotype" w:eastAsia="Times New Roman" w:hAnsi="Palatino Linotype" w:cs="Calibri"/>
                <w:b/>
                <w:bCs/>
                <w:i/>
                <w:iCs/>
                <w:color w:val="000000"/>
                <w:sz w:val="16"/>
                <w:szCs w:val="16"/>
              </w:rPr>
              <w:t>g-</w:t>
            </w:r>
            <w:r w:rsidRPr="00D25AAE">
              <w:rPr>
                <w:rFonts w:ascii="Palatino Linotype" w:eastAsia="Times New Roman" w:hAnsi="Palatino Linotype" w:cs="Calibri"/>
                <w:b/>
                <w:bCs/>
                <w:color w:val="000000"/>
                <w:sz w:val="16"/>
                <w:szCs w:val="16"/>
              </w:rPr>
              <w:t>PCA</w:t>
            </w:r>
          </w:p>
        </w:tc>
        <w:tc>
          <w:tcPr>
            <w:tcW w:w="640" w:type="dxa"/>
            <w:tcBorders>
              <w:top w:val="nil"/>
              <w:left w:val="nil"/>
              <w:bottom w:val="nil"/>
              <w:right w:val="nil"/>
            </w:tcBorders>
            <w:shd w:val="clear" w:color="auto" w:fill="auto"/>
            <w:vAlign w:val="center"/>
            <w:hideMark/>
          </w:tcPr>
          <w:p w14:paraId="79F88B64" w14:textId="77777777" w:rsidR="00D25AAE" w:rsidRPr="00D25AAE" w:rsidRDefault="00D25AAE" w:rsidP="00D25AAE">
            <w:pPr>
              <w:spacing w:after="0" w:line="240" w:lineRule="auto"/>
              <w:jc w:val="center"/>
              <w:rPr>
                <w:rFonts w:ascii="Palatino Linotype" w:eastAsia="Times New Roman" w:hAnsi="Palatino Linotype" w:cs="Calibri"/>
                <w:b/>
                <w:bCs/>
                <w:color w:val="000000"/>
                <w:sz w:val="16"/>
                <w:szCs w:val="16"/>
              </w:rPr>
            </w:pPr>
            <w:r w:rsidRPr="00D25AAE">
              <w:rPr>
                <w:rFonts w:ascii="Palatino Linotype" w:eastAsia="Times New Roman" w:hAnsi="Palatino Linotype" w:cs="Calibri"/>
                <w:b/>
                <w:bCs/>
                <w:i/>
                <w:iCs/>
                <w:color w:val="000000"/>
                <w:sz w:val="16"/>
                <w:szCs w:val="16"/>
              </w:rPr>
              <w:t>g</w:t>
            </w:r>
            <w:r w:rsidRPr="00D25AAE">
              <w:rPr>
                <w:rFonts w:ascii="Palatino Linotype" w:eastAsia="Times New Roman" w:hAnsi="Palatino Linotype" w:cs="Calibri"/>
                <w:b/>
                <w:bCs/>
                <w:color w:val="000000"/>
                <w:sz w:val="16"/>
                <w:szCs w:val="16"/>
              </w:rPr>
              <w:t>-PAF</w:t>
            </w:r>
          </w:p>
        </w:tc>
      </w:tr>
      <w:tr w:rsidR="00D25AAE" w:rsidRPr="00D25AAE" w14:paraId="5323DFA7"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149A3505"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Analysis-Synthesis</w:t>
            </w:r>
          </w:p>
        </w:tc>
        <w:tc>
          <w:tcPr>
            <w:tcW w:w="898" w:type="dxa"/>
            <w:tcBorders>
              <w:top w:val="nil"/>
              <w:left w:val="nil"/>
              <w:bottom w:val="nil"/>
              <w:right w:val="nil"/>
            </w:tcBorders>
            <w:shd w:val="clear" w:color="auto" w:fill="auto"/>
            <w:vAlign w:val="center"/>
            <w:hideMark/>
          </w:tcPr>
          <w:p w14:paraId="7AF0B99C"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ANLSYN</w:t>
            </w:r>
          </w:p>
        </w:tc>
        <w:tc>
          <w:tcPr>
            <w:tcW w:w="776" w:type="dxa"/>
            <w:tcBorders>
              <w:top w:val="nil"/>
              <w:left w:val="nil"/>
              <w:bottom w:val="nil"/>
              <w:right w:val="single" w:sz="4" w:space="0" w:color="auto"/>
            </w:tcBorders>
            <w:shd w:val="clear" w:color="auto" w:fill="auto"/>
            <w:vAlign w:val="center"/>
            <w:hideMark/>
          </w:tcPr>
          <w:p w14:paraId="000D89BD"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Gf</w:t>
            </w:r>
          </w:p>
        </w:tc>
        <w:tc>
          <w:tcPr>
            <w:tcW w:w="660" w:type="dxa"/>
            <w:tcBorders>
              <w:top w:val="single" w:sz="4" w:space="0" w:color="auto"/>
              <w:left w:val="nil"/>
              <w:bottom w:val="nil"/>
              <w:right w:val="nil"/>
            </w:tcBorders>
            <w:shd w:val="clear" w:color="auto" w:fill="auto"/>
            <w:noWrap/>
            <w:hideMark/>
          </w:tcPr>
          <w:p w14:paraId="2269D91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0.65</w:t>
            </w:r>
          </w:p>
        </w:tc>
        <w:tc>
          <w:tcPr>
            <w:tcW w:w="640" w:type="dxa"/>
            <w:tcBorders>
              <w:top w:val="single" w:sz="4" w:space="0" w:color="auto"/>
              <w:left w:val="nil"/>
              <w:bottom w:val="nil"/>
              <w:right w:val="nil"/>
            </w:tcBorders>
            <w:shd w:val="clear" w:color="auto" w:fill="auto"/>
            <w:noWrap/>
            <w:hideMark/>
          </w:tcPr>
          <w:p w14:paraId="51B9775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0.62</w:t>
            </w:r>
          </w:p>
        </w:tc>
      </w:tr>
      <w:tr w:rsidR="00D25AAE" w:rsidRPr="00D25AAE" w14:paraId="66639FF1"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2247F977"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Concept Formation</w:t>
            </w:r>
          </w:p>
        </w:tc>
        <w:tc>
          <w:tcPr>
            <w:tcW w:w="898" w:type="dxa"/>
            <w:tcBorders>
              <w:top w:val="nil"/>
              <w:left w:val="nil"/>
              <w:bottom w:val="nil"/>
              <w:right w:val="nil"/>
            </w:tcBorders>
            <w:shd w:val="clear" w:color="auto" w:fill="auto"/>
            <w:vAlign w:val="center"/>
            <w:hideMark/>
          </w:tcPr>
          <w:p w14:paraId="3E39FE02"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CONFRM</w:t>
            </w:r>
          </w:p>
        </w:tc>
        <w:tc>
          <w:tcPr>
            <w:tcW w:w="776" w:type="dxa"/>
            <w:tcBorders>
              <w:top w:val="nil"/>
              <w:left w:val="nil"/>
              <w:bottom w:val="nil"/>
              <w:right w:val="single" w:sz="4" w:space="0" w:color="auto"/>
            </w:tcBorders>
            <w:shd w:val="clear" w:color="auto" w:fill="auto"/>
            <w:vAlign w:val="center"/>
            <w:hideMark/>
          </w:tcPr>
          <w:p w14:paraId="51D259E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Gf</w:t>
            </w:r>
          </w:p>
        </w:tc>
        <w:tc>
          <w:tcPr>
            <w:tcW w:w="660" w:type="dxa"/>
            <w:tcBorders>
              <w:top w:val="nil"/>
              <w:left w:val="nil"/>
              <w:bottom w:val="nil"/>
              <w:right w:val="nil"/>
            </w:tcBorders>
            <w:shd w:val="clear" w:color="auto" w:fill="auto"/>
            <w:noWrap/>
            <w:hideMark/>
          </w:tcPr>
          <w:p w14:paraId="0DD0088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0.66</w:t>
            </w:r>
          </w:p>
        </w:tc>
        <w:tc>
          <w:tcPr>
            <w:tcW w:w="640" w:type="dxa"/>
            <w:tcBorders>
              <w:top w:val="nil"/>
              <w:left w:val="nil"/>
              <w:bottom w:val="nil"/>
              <w:right w:val="nil"/>
            </w:tcBorders>
            <w:shd w:val="clear" w:color="auto" w:fill="auto"/>
            <w:noWrap/>
            <w:hideMark/>
          </w:tcPr>
          <w:p w14:paraId="00E4D8F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0.64</w:t>
            </w:r>
          </w:p>
        </w:tc>
      </w:tr>
      <w:tr w:rsidR="00D25AAE" w:rsidRPr="00D25AAE" w14:paraId="07A5448F"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16FBCD3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898" w:type="dxa"/>
            <w:tcBorders>
              <w:top w:val="nil"/>
              <w:left w:val="nil"/>
              <w:bottom w:val="nil"/>
              <w:right w:val="nil"/>
            </w:tcBorders>
            <w:shd w:val="clear" w:color="auto" w:fill="auto"/>
            <w:vAlign w:val="center"/>
            <w:hideMark/>
          </w:tcPr>
          <w:p w14:paraId="54FBEB01"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single" w:sz="4" w:space="0" w:color="auto"/>
            </w:tcBorders>
            <w:shd w:val="clear" w:color="auto" w:fill="auto"/>
            <w:vAlign w:val="center"/>
            <w:hideMark/>
          </w:tcPr>
          <w:p w14:paraId="5F73582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60" w:type="dxa"/>
            <w:tcBorders>
              <w:top w:val="nil"/>
              <w:left w:val="nil"/>
              <w:bottom w:val="nil"/>
              <w:right w:val="nil"/>
            </w:tcBorders>
            <w:shd w:val="clear" w:color="auto" w:fill="auto"/>
            <w:noWrap/>
            <w:vAlign w:val="bottom"/>
            <w:hideMark/>
          </w:tcPr>
          <w:p w14:paraId="6709EBB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02A4CEFC"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52560988"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6A43DF77"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Verbal Analogies</w:t>
            </w:r>
          </w:p>
        </w:tc>
        <w:tc>
          <w:tcPr>
            <w:tcW w:w="898" w:type="dxa"/>
            <w:tcBorders>
              <w:top w:val="nil"/>
              <w:left w:val="nil"/>
              <w:bottom w:val="nil"/>
              <w:right w:val="nil"/>
            </w:tcBorders>
            <w:shd w:val="clear" w:color="auto" w:fill="auto"/>
            <w:vAlign w:val="center"/>
            <w:hideMark/>
          </w:tcPr>
          <w:p w14:paraId="48E0CDEF"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VRBANL</w:t>
            </w:r>
          </w:p>
        </w:tc>
        <w:tc>
          <w:tcPr>
            <w:tcW w:w="776" w:type="dxa"/>
            <w:tcBorders>
              <w:top w:val="nil"/>
              <w:left w:val="nil"/>
              <w:bottom w:val="nil"/>
              <w:right w:val="single" w:sz="4" w:space="0" w:color="auto"/>
            </w:tcBorders>
            <w:shd w:val="clear" w:color="auto" w:fill="auto"/>
            <w:vAlign w:val="center"/>
            <w:hideMark/>
          </w:tcPr>
          <w:p w14:paraId="7349221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Gc/Gf</w:t>
            </w:r>
          </w:p>
        </w:tc>
        <w:tc>
          <w:tcPr>
            <w:tcW w:w="660" w:type="dxa"/>
            <w:tcBorders>
              <w:top w:val="nil"/>
              <w:left w:val="nil"/>
              <w:bottom w:val="nil"/>
              <w:right w:val="nil"/>
            </w:tcBorders>
            <w:shd w:val="clear" w:color="auto" w:fill="auto"/>
            <w:noWrap/>
            <w:hideMark/>
          </w:tcPr>
          <w:p w14:paraId="57ADA52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0.76</w:t>
            </w:r>
          </w:p>
        </w:tc>
        <w:tc>
          <w:tcPr>
            <w:tcW w:w="640" w:type="dxa"/>
            <w:tcBorders>
              <w:top w:val="nil"/>
              <w:left w:val="nil"/>
              <w:bottom w:val="nil"/>
              <w:right w:val="nil"/>
            </w:tcBorders>
            <w:shd w:val="clear" w:color="auto" w:fill="auto"/>
            <w:noWrap/>
            <w:hideMark/>
          </w:tcPr>
          <w:p w14:paraId="3BA55FB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0.75</w:t>
            </w:r>
          </w:p>
        </w:tc>
      </w:tr>
      <w:tr w:rsidR="00D25AAE" w:rsidRPr="00D25AAE" w14:paraId="61D7959F"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49B891A1"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General Information</w:t>
            </w:r>
          </w:p>
        </w:tc>
        <w:tc>
          <w:tcPr>
            <w:tcW w:w="898" w:type="dxa"/>
            <w:tcBorders>
              <w:top w:val="nil"/>
              <w:left w:val="nil"/>
              <w:bottom w:val="nil"/>
              <w:right w:val="nil"/>
            </w:tcBorders>
            <w:shd w:val="clear" w:color="auto" w:fill="auto"/>
            <w:vAlign w:val="center"/>
            <w:hideMark/>
          </w:tcPr>
          <w:p w14:paraId="48B7A48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GENINF</w:t>
            </w:r>
          </w:p>
        </w:tc>
        <w:tc>
          <w:tcPr>
            <w:tcW w:w="776" w:type="dxa"/>
            <w:tcBorders>
              <w:top w:val="nil"/>
              <w:left w:val="nil"/>
              <w:bottom w:val="nil"/>
              <w:right w:val="single" w:sz="4" w:space="0" w:color="auto"/>
            </w:tcBorders>
            <w:shd w:val="clear" w:color="auto" w:fill="auto"/>
            <w:vAlign w:val="center"/>
            <w:hideMark/>
          </w:tcPr>
          <w:p w14:paraId="4830B7F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Gc</w:t>
            </w:r>
          </w:p>
        </w:tc>
        <w:tc>
          <w:tcPr>
            <w:tcW w:w="660" w:type="dxa"/>
            <w:tcBorders>
              <w:top w:val="nil"/>
              <w:left w:val="nil"/>
              <w:bottom w:val="nil"/>
              <w:right w:val="nil"/>
            </w:tcBorders>
            <w:shd w:val="clear" w:color="auto" w:fill="auto"/>
            <w:noWrap/>
            <w:hideMark/>
          </w:tcPr>
          <w:p w14:paraId="100EA3E0"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0.62</w:t>
            </w:r>
          </w:p>
        </w:tc>
        <w:tc>
          <w:tcPr>
            <w:tcW w:w="640" w:type="dxa"/>
            <w:tcBorders>
              <w:top w:val="nil"/>
              <w:left w:val="nil"/>
              <w:bottom w:val="nil"/>
              <w:right w:val="nil"/>
            </w:tcBorders>
            <w:shd w:val="clear" w:color="auto" w:fill="auto"/>
            <w:noWrap/>
            <w:hideMark/>
          </w:tcPr>
          <w:p w14:paraId="1CB188B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0.59</w:t>
            </w:r>
          </w:p>
        </w:tc>
      </w:tr>
      <w:tr w:rsidR="00D25AAE" w:rsidRPr="00D25AAE" w14:paraId="3F3FCB23"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2693E23C"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Oral Comprehension</w:t>
            </w:r>
          </w:p>
        </w:tc>
        <w:tc>
          <w:tcPr>
            <w:tcW w:w="898" w:type="dxa"/>
            <w:tcBorders>
              <w:top w:val="nil"/>
              <w:left w:val="nil"/>
              <w:bottom w:val="nil"/>
              <w:right w:val="nil"/>
            </w:tcBorders>
            <w:shd w:val="clear" w:color="auto" w:fill="auto"/>
            <w:vAlign w:val="center"/>
            <w:hideMark/>
          </w:tcPr>
          <w:p w14:paraId="125AD9BD"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ORLCMP</w:t>
            </w:r>
          </w:p>
        </w:tc>
        <w:tc>
          <w:tcPr>
            <w:tcW w:w="776" w:type="dxa"/>
            <w:tcBorders>
              <w:top w:val="nil"/>
              <w:left w:val="nil"/>
              <w:bottom w:val="nil"/>
              <w:right w:val="single" w:sz="4" w:space="0" w:color="auto"/>
            </w:tcBorders>
            <w:shd w:val="clear" w:color="auto" w:fill="auto"/>
            <w:vAlign w:val="center"/>
            <w:hideMark/>
          </w:tcPr>
          <w:p w14:paraId="425FD52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Gc</w:t>
            </w:r>
          </w:p>
        </w:tc>
        <w:tc>
          <w:tcPr>
            <w:tcW w:w="660" w:type="dxa"/>
            <w:tcBorders>
              <w:top w:val="nil"/>
              <w:left w:val="nil"/>
              <w:bottom w:val="nil"/>
              <w:right w:val="nil"/>
            </w:tcBorders>
            <w:shd w:val="clear" w:color="auto" w:fill="auto"/>
            <w:noWrap/>
            <w:hideMark/>
          </w:tcPr>
          <w:p w14:paraId="7180A9B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0.67</w:t>
            </w:r>
          </w:p>
        </w:tc>
        <w:tc>
          <w:tcPr>
            <w:tcW w:w="640" w:type="dxa"/>
            <w:tcBorders>
              <w:top w:val="nil"/>
              <w:left w:val="nil"/>
              <w:bottom w:val="nil"/>
              <w:right w:val="nil"/>
            </w:tcBorders>
            <w:shd w:val="clear" w:color="auto" w:fill="auto"/>
            <w:noWrap/>
            <w:hideMark/>
          </w:tcPr>
          <w:p w14:paraId="6FFC5B1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0.65</w:t>
            </w:r>
          </w:p>
        </w:tc>
      </w:tr>
      <w:tr w:rsidR="00D25AAE" w:rsidRPr="00D25AAE" w14:paraId="1F9539CC"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0D60DDB4"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Oral Vocabulary</w:t>
            </w:r>
          </w:p>
        </w:tc>
        <w:tc>
          <w:tcPr>
            <w:tcW w:w="898" w:type="dxa"/>
            <w:tcBorders>
              <w:top w:val="nil"/>
              <w:left w:val="nil"/>
              <w:bottom w:val="nil"/>
              <w:right w:val="nil"/>
            </w:tcBorders>
            <w:shd w:val="clear" w:color="auto" w:fill="auto"/>
            <w:vAlign w:val="center"/>
            <w:hideMark/>
          </w:tcPr>
          <w:p w14:paraId="5825E9A7"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ORLVOC</w:t>
            </w:r>
          </w:p>
        </w:tc>
        <w:tc>
          <w:tcPr>
            <w:tcW w:w="776" w:type="dxa"/>
            <w:tcBorders>
              <w:top w:val="nil"/>
              <w:left w:val="nil"/>
              <w:bottom w:val="nil"/>
              <w:right w:val="single" w:sz="4" w:space="0" w:color="auto"/>
            </w:tcBorders>
            <w:shd w:val="clear" w:color="auto" w:fill="auto"/>
            <w:vAlign w:val="center"/>
            <w:hideMark/>
          </w:tcPr>
          <w:p w14:paraId="41818C67"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Gc</w:t>
            </w:r>
          </w:p>
        </w:tc>
        <w:tc>
          <w:tcPr>
            <w:tcW w:w="660" w:type="dxa"/>
            <w:tcBorders>
              <w:top w:val="nil"/>
              <w:left w:val="nil"/>
              <w:bottom w:val="nil"/>
              <w:right w:val="nil"/>
            </w:tcBorders>
            <w:shd w:val="clear" w:color="auto" w:fill="auto"/>
            <w:noWrap/>
            <w:hideMark/>
          </w:tcPr>
          <w:p w14:paraId="21F41201"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0.76</w:t>
            </w:r>
          </w:p>
        </w:tc>
        <w:tc>
          <w:tcPr>
            <w:tcW w:w="640" w:type="dxa"/>
            <w:tcBorders>
              <w:top w:val="nil"/>
              <w:left w:val="nil"/>
              <w:bottom w:val="nil"/>
              <w:right w:val="nil"/>
            </w:tcBorders>
            <w:shd w:val="clear" w:color="auto" w:fill="auto"/>
            <w:noWrap/>
            <w:hideMark/>
          </w:tcPr>
          <w:p w14:paraId="2B6367E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0.74</w:t>
            </w:r>
          </w:p>
        </w:tc>
      </w:tr>
      <w:tr w:rsidR="00D25AAE" w:rsidRPr="00D25AAE" w14:paraId="44B530E4"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3AD701C7"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898" w:type="dxa"/>
            <w:tcBorders>
              <w:top w:val="nil"/>
              <w:left w:val="nil"/>
              <w:bottom w:val="nil"/>
              <w:right w:val="nil"/>
            </w:tcBorders>
            <w:shd w:val="clear" w:color="auto" w:fill="auto"/>
            <w:vAlign w:val="center"/>
            <w:hideMark/>
          </w:tcPr>
          <w:p w14:paraId="656C11BF"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single" w:sz="4" w:space="0" w:color="auto"/>
            </w:tcBorders>
            <w:shd w:val="clear" w:color="auto" w:fill="auto"/>
            <w:vAlign w:val="center"/>
            <w:hideMark/>
          </w:tcPr>
          <w:p w14:paraId="7DF1C02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60" w:type="dxa"/>
            <w:tcBorders>
              <w:top w:val="nil"/>
              <w:left w:val="nil"/>
              <w:bottom w:val="nil"/>
              <w:right w:val="nil"/>
            </w:tcBorders>
            <w:shd w:val="clear" w:color="auto" w:fill="auto"/>
            <w:noWrap/>
            <w:vAlign w:val="bottom"/>
            <w:hideMark/>
          </w:tcPr>
          <w:p w14:paraId="3E6563FF"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52BA009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4725B561"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76216FB8"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Block Rotation</w:t>
            </w:r>
          </w:p>
        </w:tc>
        <w:tc>
          <w:tcPr>
            <w:tcW w:w="898" w:type="dxa"/>
            <w:tcBorders>
              <w:top w:val="nil"/>
              <w:left w:val="nil"/>
              <w:bottom w:val="nil"/>
              <w:right w:val="nil"/>
            </w:tcBorders>
            <w:shd w:val="clear" w:color="auto" w:fill="auto"/>
            <w:vAlign w:val="center"/>
            <w:hideMark/>
          </w:tcPr>
          <w:p w14:paraId="7BC7DE5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VZBLKR</w:t>
            </w:r>
          </w:p>
        </w:tc>
        <w:tc>
          <w:tcPr>
            <w:tcW w:w="776" w:type="dxa"/>
            <w:tcBorders>
              <w:top w:val="nil"/>
              <w:left w:val="nil"/>
              <w:bottom w:val="nil"/>
              <w:right w:val="single" w:sz="4" w:space="0" w:color="auto"/>
            </w:tcBorders>
            <w:shd w:val="clear" w:color="auto" w:fill="auto"/>
            <w:vAlign w:val="center"/>
            <w:hideMark/>
          </w:tcPr>
          <w:p w14:paraId="3DA9195A"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Gv</w:t>
            </w:r>
          </w:p>
        </w:tc>
        <w:tc>
          <w:tcPr>
            <w:tcW w:w="660" w:type="dxa"/>
            <w:tcBorders>
              <w:top w:val="nil"/>
              <w:left w:val="nil"/>
              <w:bottom w:val="nil"/>
              <w:right w:val="nil"/>
            </w:tcBorders>
            <w:shd w:val="clear" w:color="auto" w:fill="auto"/>
            <w:noWrap/>
            <w:hideMark/>
          </w:tcPr>
          <w:p w14:paraId="1B3E6DA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0.53</w:t>
            </w:r>
          </w:p>
        </w:tc>
        <w:tc>
          <w:tcPr>
            <w:tcW w:w="640" w:type="dxa"/>
            <w:tcBorders>
              <w:top w:val="nil"/>
              <w:left w:val="nil"/>
              <w:bottom w:val="nil"/>
              <w:right w:val="nil"/>
            </w:tcBorders>
            <w:shd w:val="clear" w:color="auto" w:fill="auto"/>
            <w:noWrap/>
            <w:hideMark/>
          </w:tcPr>
          <w:p w14:paraId="4500B4D2"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0.50</w:t>
            </w:r>
          </w:p>
        </w:tc>
      </w:tr>
      <w:tr w:rsidR="00D25AAE" w:rsidRPr="00D25AAE" w14:paraId="5ED21FEC"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0CAC22F5"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Spatial Relations</w:t>
            </w:r>
          </w:p>
        </w:tc>
        <w:tc>
          <w:tcPr>
            <w:tcW w:w="898" w:type="dxa"/>
            <w:tcBorders>
              <w:top w:val="nil"/>
              <w:left w:val="nil"/>
              <w:bottom w:val="nil"/>
              <w:right w:val="nil"/>
            </w:tcBorders>
            <w:shd w:val="clear" w:color="auto" w:fill="auto"/>
            <w:vAlign w:val="center"/>
            <w:hideMark/>
          </w:tcPr>
          <w:p w14:paraId="42C5C6E1"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VZSPRL</w:t>
            </w:r>
          </w:p>
        </w:tc>
        <w:tc>
          <w:tcPr>
            <w:tcW w:w="776" w:type="dxa"/>
            <w:tcBorders>
              <w:top w:val="nil"/>
              <w:left w:val="nil"/>
              <w:bottom w:val="nil"/>
              <w:right w:val="single" w:sz="4" w:space="0" w:color="auto"/>
            </w:tcBorders>
            <w:shd w:val="clear" w:color="auto" w:fill="auto"/>
            <w:vAlign w:val="center"/>
            <w:hideMark/>
          </w:tcPr>
          <w:p w14:paraId="386B703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Gv</w:t>
            </w:r>
          </w:p>
        </w:tc>
        <w:tc>
          <w:tcPr>
            <w:tcW w:w="660" w:type="dxa"/>
            <w:tcBorders>
              <w:top w:val="nil"/>
              <w:left w:val="nil"/>
              <w:bottom w:val="nil"/>
              <w:right w:val="nil"/>
            </w:tcBorders>
            <w:shd w:val="clear" w:color="auto" w:fill="auto"/>
            <w:noWrap/>
            <w:hideMark/>
          </w:tcPr>
          <w:p w14:paraId="0CBCDCF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0.56</w:t>
            </w:r>
          </w:p>
        </w:tc>
        <w:tc>
          <w:tcPr>
            <w:tcW w:w="640" w:type="dxa"/>
            <w:tcBorders>
              <w:top w:val="nil"/>
              <w:left w:val="nil"/>
              <w:bottom w:val="nil"/>
              <w:right w:val="nil"/>
            </w:tcBorders>
            <w:shd w:val="clear" w:color="auto" w:fill="auto"/>
            <w:noWrap/>
            <w:hideMark/>
          </w:tcPr>
          <w:p w14:paraId="4475307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0.53</w:t>
            </w:r>
          </w:p>
        </w:tc>
      </w:tr>
      <w:tr w:rsidR="00D25AAE" w:rsidRPr="00D25AAE" w14:paraId="75B4C27B"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3E1F8BE2"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898" w:type="dxa"/>
            <w:tcBorders>
              <w:top w:val="nil"/>
              <w:left w:val="nil"/>
              <w:bottom w:val="nil"/>
              <w:right w:val="nil"/>
            </w:tcBorders>
            <w:shd w:val="clear" w:color="auto" w:fill="auto"/>
            <w:vAlign w:val="center"/>
            <w:hideMark/>
          </w:tcPr>
          <w:p w14:paraId="5B462D33"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single" w:sz="4" w:space="0" w:color="auto"/>
            </w:tcBorders>
            <w:shd w:val="clear" w:color="auto" w:fill="auto"/>
            <w:vAlign w:val="center"/>
            <w:hideMark/>
          </w:tcPr>
          <w:p w14:paraId="2E40DE0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60" w:type="dxa"/>
            <w:tcBorders>
              <w:top w:val="nil"/>
              <w:left w:val="nil"/>
              <w:bottom w:val="nil"/>
              <w:right w:val="nil"/>
            </w:tcBorders>
            <w:shd w:val="clear" w:color="auto" w:fill="auto"/>
            <w:noWrap/>
            <w:vAlign w:val="bottom"/>
            <w:hideMark/>
          </w:tcPr>
          <w:p w14:paraId="0992D750"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615ADBF2"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709E43D4"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3295D448"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Phon. Proc.-Word Access</w:t>
            </w:r>
          </w:p>
        </w:tc>
        <w:tc>
          <w:tcPr>
            <w:tcW w:w="898" w:type="dxa"/>
            <w:tcBorders>
              <w:top w:val="nil"/>
              <w:left w:val="nil"/>
              <w:bottom w:val="nil"/>
              <w:right w:val="nil"/>
            </w:tcBorders>
            <w:shd w:val="clear" w:color="auto" w:fill="auto"/>
            <w:vAlign w:val="center"/>
            <w:hideMark/>
          </w:tcPr>
          <w:p w14:paraId="38FDA1B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PPACC</w:t>
            </w:r>
          </w:p>
        </w:tc>
        <w:tc>
          <w:tcPr>
            <w:tcW w:w="776" w:type="dxa"/>
            <w:tcBorders>
              <w:top w:val="nil"/>
              <w:left w:val="nil"/>
              <w:bottom w:val="nil"/>
              <w:right w:val="single" w:sz="4" w:space="0" w:color="auto"/>
            </w:tcBorders>
            <w:shd w:val="clear" w:color="auto" w:fill="auto"/>
            <w:vAlign w:val="center"/>
            <w:hideMark/>
          </w:tcPr>
          <w:p w14:paraId="75313E2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Ga</w:t>
            </w:r>
          </w:p>
        </w:tc>
        <w:tc>
          <w:tcPr>
            <w:tcW w:w="660" w:type="dxa"/>
            <w:tcBorders>
              <w:top w:val="nil"/>
              <w:left w:val="nil"/>
              <w:bottom w:val="nil"/>
              <w:right w:val="nil"/>
            </w:tcBorders>
            <w:shd w:val="clear" w:color="auto" w:fill="auto"/>
            <w:noWrap/>
            <w:hideMark/>
          </w:tcPr>
          <w:p w14:paraId="7D2AF84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0.65</w:t>
            </w:r>
          </w:p>
        </w:tc>
        <w:tc>
          <w:tcPr>
            <w:tcW w:w="640" w:type="dxa"/>
            <w:tcBorders>
              <w:top w:val="nil"/>
              <w:left w:val="nil"/>
              <w:bottom w:val="nil"/>
              <w:right w:val="nil"/>
            </w:tcBorders>
            <w:shd w:val="clear" w:color="auto" w:fill="auto"/>
            <w:noWrap/>
            <w:hideMark/>
          </w:tcPr>
          <w:p w14:paraId="74836A9F"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0.63</w:t>
            </w:r>
          </w:p>
        </w:tc>
      </w:tr>
      <w:tr w:rsidR="00D25AAE" w:rsidRPr="00D25AAE" w14:paraId="02554E71"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029D15C7" w14:textId="386976D9"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Phon. Proc.-</w:t>
            </w:r>
            <w:r w:rsidR="0030494A" w:rsidRPr="00D25AAE">
              <w:rPr>
                <w:rFonts w:ascii="Palatino Linotype" w:eastAsia="Times New Roman" w:hAnsi="Palatino Linotype" w:cs="Calibri"/>
                <w:color w:val="000000"/>
                <w:sz w:val="16"/>
                <w:szCs w:val="16"/>
              </w:rPr>
              <w:t>Substitution</w:t>
            </w:r>
          </w:p>
        </w:tc>
        <w:tc>
          <w:tcPr>
            <w:tcW w:w="898" w:type="dxa"/>
            <w:tcBorders>
              <w:top w:val="nil"/>
              <w:left w:val="nil"/>
              <w:bottom w:val="nil"/>
              <w:right w:val="nil"/>
            </w:tcBorders>
            <w:shd w:val="clear" w:color="auto" w:fill="auto"/>
            <w:vAlign w:val="center"/>
            <w:hideMark/>
          </w:tcPr>
          <w:p w14:paraId="5F592D3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PPSUB</w:t>
            </w:r>
          </w:p>
        </w:tc>
        <w:tc>
          <w:tcPr>
            <w:tcW w:w="776" w:type="dxa"/>
            <w:tcBorders>
              <w:top w:val="nil"/>
              <w:left w:val="nil"/>
              <w:bottom w:val="nil"/>
              <w:right w:val="single" w:sz="4" w:space="0" w:color="auto"/>
            </w:tcBorders>
            <w:shd w:val="clear" w:color="auto" w:fill="auto"/>
            <w:vAlign w:val="center"/>
            <w:hideMark/>
          </w:tcPr>
          <w:p w14:paraId="7B285A1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Ga</w:t>
            </w:r>
          </w:p>
        </w:tc>
        <w:tc>
          <w:tcPr>
            <w:tcW w:w="660" w:type="dxa"/>
            <w:tcBorders>
              <w:top w:val="nil"/>
              <w:left w:val="nil"/>
              <w:bottom w:val="nil"/>
              <w:right w:val="nil"/>
            </w:tcBorders>
            <w:shd w:val="clear" w:color="auto" w:fill="auto"/>
            <w:noWrap/>
            <w:hideMark/>
          </w:tcPr>
          <w:p w14:paraId="5616182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0.64</w:t>
            </w:r>
          </w:p>
        </w:tc>
        <w:tc>
          <w:tcPr>
            <w:tcW w:w="640" w:type="dxa"/>
            <w:tcBorders>
              <w:top w:val="nil"/>
              <w:left w:val="nil"/>
              <w:bottom w:val="nil"/>
              <w:right w:val="nil"/>
            </w:tcBorders>
            <w:shd w:val="clear" w:color="auto" w:fill="auto"/>
            <w:noWrap/>
            <w:hideMark/>
          </w:tcPr>
          <w:p w14:paraId="28A94F5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0.61</w:t>
            </w:r>
          </w:p>
        </w:tc>
      </w:tr>
      <w:tr w:rsidR="00D25AAE" w:rsidRPr="00D25AAE" w14:paraId="5D443331"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1DAF015F"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Segmentation</w:t>
            </w:r>
          </w:p>
        </w:tc>
        <w:tc>
          <w:tcPr>
            <w:tcW w:w="898" w:type="dxa"/>
            <w:tcBorders>
              <w:top w:val="nil"/>
              <w:left w:val="nil"/>
              <w:bottom w:val="nil"/>
              <w:right w:val="nil"/>
            </w:tcBorders>
            <w:shd w:val="clear" w:color="auto" w:fill="auto"/>
            <w:vAlign w:val="center"/>
            <w:hideMark/>
          </w:tcPr>
          <w:p w14:paraId="5DD4557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SEGMNT</w:t>
            </w:r>
          </w:p>
        </w:tc>
        <w:tc>
          <w:tcPr>
            <w:tcW w:w="776" w:type="dxa"/>
            <w:tcBorders>
              <w:top w:val="nil"/>
              <w:left w:val="nil"/>
              <w:bottom w:val="nil"/>
              <w:right w:val="single" w:sz="4" w:space="0" w:color="auto"/>
            </w:tcBorders>
            <w:shd w:val="clear" w:color="auto" w:fill="auto"/>
            <w:vAlign w:val="center"/>
            <w:hideMark/>
          </w:tcPr>
          <w:p w14:paraId="35DF3FF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Ga</w:t>
            </w:r>
          </w:p>
        </w:tc>
        <w:tc>
          <w:tcPr>
            <w:tcW w:w="660" w:type="dxa"/>
            <w:tcBorders>
              <w:top w:val="nil"/>
              <w:left w:val="nil"/>
              <w:bottom w:val="nil"/>
              <w:right w:val="nil"/>
            </w:tcBorders>
            <w:shd w:val="clear" w:color="auto" w:fill="auto"/>
            <w:noWrap/>
            <w:hideMark/>
          </w:tcPr>
          <w:p w14:paraId="50A5FE7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0.63</w:t>
            </w:r>
          </w:p>
        </w:tc>
        <w:tc>
          <w:tcPr>
            <w:tcW w:w="640" w:type="dxa"/>
            <w:tcBorders>
              <w:top w:val="nil"/>
              <w:left w:val="nil"/>
              <w:bottom w:val="nil"/>
              <w:right w:val="nil"/>
            </w:tcBorders>
            <w:shd w:val="clear" w:color="auto" w:fill="auto"/>
            <w:noWrap/>
            <w:hideMark/>
          </w:tcPr>
          <w:p w14:paraId="0B1FC7E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0.60</w:t>
            </w:r>
          </w:p>
        </w:tc>
      </w:tr>
      <w:tr w:rsidR="00D25AAE" w:rsidRPr="00D25AAE" w14:paraId="3D438540"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1C6CD5F0"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Sound Blending</w:t>
            </w:r>
          </w:p>
        </w:tc>
        <w:tc>
          <w:tcPr>
            <w:tcW w:w="898" w:type="dxa"/>
            <w:tcBorders>
              <w:top w:val="nil"/>
              <w:left w:val="nil"/>
              <w:bottom w:val="nil"/>
              <w:right w:val="nil"/>
            </w:tcBorders>
            <w:shd w:val="clear" w:color="auto" w:fill="auto"/>
            <w:vAlign w:val="center"/>
            <w:hideMark/>
          </w:tcPr>
          <w:p w14:paraId="16582AB0"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SNDBLN</w:t>
            </w:r>
          </w:p>
        </w:tc>
        <w:tc>
          <w:tcPr>
            <w:tcW w:w="776" w:type="dxa"/>
            <w:tcBorders>
              <w:top w:val="nil"/>
              <w:left w:val="nil"/>
              <w:bottom w:val="nil"/>
              <w:right w:val="single" w:sz="4" w:space="0" w:color="auto"/>
            </w:tcBorders>
            <w:shd w:val="clear" w:color="auto" w:fill="auto"/>
            <w:vAlign w:val="center"/>
            <w:hideMark/>
          </w:tcPr>
          <w:p w14:paraId="4F6A54E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Ga</w:t>
            </w:r>
          </w:p>
        </w:tc>
        <w:tc>
          <w:tcPr>
            <w:tcW w:w="660" w:type="dxa"/>
            <w:tcBorders>
              <w:top w:val="nil"/>
              <w:left w:val="nil"/>
              <w:bottom w:val="nil"/>
              <w:right w:val="nil"/>
            </w:tcBorders>
            <w:shd w:val="clear" w:color="auto" w:fill="auto"/>
            <w:noWrap/>
            <w:hideMark/>
          </w:tcPr>
          <w:p w14:paraId="3D47761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0.57</w:t>
            </w:r>
          </w:p>
        </w:tc>
        <w:tc>
          <w:tcPr>
            <w:tcW w:w="640" w:type="dxa"/>
            <w:tcBorders>
              <w:top w:val="nil"/>
              <w:left w:val="nil"/>
              <w:bottom w:val="nil"/>
              <w:right w:val="nil"/>
            </w:tcBorders>
            <w:shd w:val="clear" w:color="auto" w:fill="auto"/>
            <w:noWrap/>
            <w:hideMark/>
          </w:tcPr>
          <w:p w14:paraId="7989F9DD"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0.54</w:t>
            </w:r>
          </w:p>
        </w:tc>
      </w:tr>
      <w:tr w:rsidR="00D25AAE" w:rsidRPr="00D25AAE" w14:paraId="28790EE8"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625BCCBA"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898" w:type="dxa"/>
            <w:tcBorders>
              <w:top w:val="nil"/>
              <w:left w:val="nil"/>
              <w:bottom w:val="nil"/>
              <w:right w:val="nil"/>
            </w:tcBorders>
            <w:shd w:val="clear" w:color="auto" w:fill="auto"/>
            <w:vAlign w:val="center"/>
            <w:hideMark/>
          </w:tcPr>
          <w:p w14:paraId="76C9EBA9"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single" w:sz="4" w:space="0" w:color="auto"/>
            </w:tcBorders>
            <w:shd w:val="clear" w:color="auto" w:fill="auto"/>
            <w:vAlign w:val="center"/>
            <w:hideMark/>
          </w:tcPr>
          <w:p w14:paraId="3B62A86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60" w:type="dxa"/>
            <w:tcBorders>
              <w:top w:val="nil"/>
              <w:left w:val="nil"/>
              <w:bottom w:val="nil"/>
              <w:right w:val="nil"/>
            </w:tcBorders>
            <w:shd w:val="clear" w:color="auto" w:fill="auto"/>
            <w:noWrap/>
            <w:vAlign w:val="bottom"/>
            <w:hideMark/>
          </w:tcPr>
          <w:p w14:paraId="52E37AE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7BEF5ABD"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4BABE96E"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473D92B4"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Phon. Proc.-Word Fluency</w:t>
            </w:r>
          </w:p>
        </w:tc>
        <w:tc>
          <w:tcPr>
            <w:tcW w:w="898" w:type="dxa"/>
            <w:tcBorders>
              <w:top w:val="nil"/>
              <w:left w:val="nil"/>
              <w:bottom w:val="nil"/>
              <w:right w:val="nil"/>
            </w:tcBorders>
            <w:shd w:val="clear" w:color="auto" w:fill="auto"/>
            <w:vAlign w:val="center"/>
            <w:hideMark/>
          </w:tcPr>
          <w:p w14:paraId="2031D49D"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PPFLU</w:t>
            </w:r>
          </w:p>
        </w:tc>
        <w:tc>
          <w:tcPr>
            <w:tcW w:w="776" w:type="dxa"/>
            <w:tcBorders>
              <w:top w:val="nil"/>
              <w:left w:val="nil"/>
              <w:bottom w:val="nil"/>
              <w:right w:val="single" w:sz="4" w:space="0" w:color="auto"/>
            </w:tcBorders>
            <w:shd w:val="clear" w:color="auto" w:fill="auto"/>
            <w:vAlign w:val="center"/>
            <w:hideMark/>
          </w:tcPr>
          <w:p w14:paraId="32B660F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Gr</w:t>
            </w:r>
          </w:p>
        </w:tc>
        <w:tc>
          <w:tcPr>
            <w:tcW w:w="660" w:type="dxa"/>
            <w:tcBorders>
              <w:top w:val="nil"/>
              <w:left w:val="nil"/>
              <w:bottom w:val="nil"/>
              <w:right w:val="nil"/>
            </w:tcBorders>
            <w:shd w:val="clear" w:color="auto" w:fill="auto"/>
            <w:noWrap/>
            <w:hideMark/>
          </w:tcPr>
          <w:p w14:paraId="19B33DC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0.54</w:t>
            </w:r>
          </w:p>
        </w:tc>
        <w:tc>
          <w:tcPr>
            <w:tcW w:w="640" w:type="dxa"/>
            <w:tcBorders>
              <w:top w:val="nil"/>
              <w:left w:val="nil"/>
              <w:bottom w:val="nil"/>
              <w:right w:val="nil"/>
            </w:tcBorders>
            <w:shd w:val="clear" w:color="auto" w:fill="auto"/>
            <w:noWrap/>
            <w:hideMark/>
          </w:tcPr>
          <w:p w14:paraId="0C559E70"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0.51</w:t>
            </w:r>
          </w:p>
        </w:tc>
      </w:tr>
      <w:tr w:rsidR="00D25AAE" w:rsidRPr="00D25AAE" w14:paraId="40537738"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1D270A63" w14:textId="667A5FF3" w:rsidR="00D25AAE" w:rsidRPr="00D25AAE" w:rsidRDefault="0030494A"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Retrieval</w:t>
            </w:r>
            <w:r w:rsidR="00D25AAE" w:rsidRPr="00D25AAE">
              <w:rPr>
                <w:rFonts w:ascii="Palatino Linotype" w:eastAsia="Times New Roman" w:hAnsi="Palatino Linotype" w:cs="Calibri"/>
                <w:color w:val="000000"/>
                <w:sz w:val="16"/>
                <w:szCs w:val="16"/>
              </w:rPr>
              <w:t xml:space="preserve"> Fluency</w:t>
            </w:r>
          </w:p>
        </w:tc>
        <w:tc>
          <w:tcPr>
            <w:tcW w:w="898" w:type="dxa"/>
            <w:tcBorders>
              <w:top w:val="nil"/>
              <w:left w:val="nil"/>
              <w:bottom w:val="nil"/>
              <w:right w:val="nil"/>
            </w:tcBorders>
            <w:shd w:val="clear" w:color="auto" w:fill="auto"/>
            <w:vAlign w:val="center"/>
            <w:hideMark/>
          </w:tcPr>
          <w:p w14:paraId="7DC6413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RETFLU</w:t>
            </w:r>
          </w:p>
        </w:tc>
        <w:tc>
          <w:tcPr>
            <w:tcW w:w="776" w:type="dxa"/>
            <w:tcBorders>
              <w:top w:val="nil"/>
              <w:left w:val="nil"/>
              <w:bottom w:val="nil"/>
              <w:right w:val="single" w:sz="4" w:space="0" w:color="auto"/>
            </w:tcBorders>
            <w:shd w:val="clear" w:color="auto" w:fill="auto"/>
            <w:vAlign w:val="center"/>
            <w:hideMark/>
          </w:tcPr>
          <w:p w14:paraId="39C1DA17"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Gr</w:t>
            </w:r>
          </w:p>
        </w:tc>
        <w:tc>
          <w:tcPr>
            <w:tcW w:w="660" w:type="dxa"/>
            <w:tcBorders>
              <w:top w:val="nil"/>
              <w:left w:val="nil"/>
              <w:bottom w:val="nil"/>
              <w:right w:val="nil"/>
            </w:tcBorders>
            <w:shd w:val="clear" w:color="auto" w:fill="auto"/>
            <w:noWrap/>
            <w:hideMark/>
          </w:tcPr>
          <w:p w14:paraId="5CD873DA"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0.58</w:t>
            </w:r>
          </w:p>
        </w:tc>
        <w:tc>
          <w:tcPr>
            <w:tcW w:w="640" w:type="dxa"/>
            <w:tcBorders>
              <w:top w:val="nil"/>
              <w:left w:val="nil"/>
              <w:bottom w:val="nil"/>
              <w:right w:val="nil"/>
            </w:tcBorders>
            <w:shd w:val="clear" w:color="auto" w:fill="auto"/>
            <w:noWrap/>
            <w:hideMark/>
          </w:tcPr>
          <w:p w14:paraId="76E167A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0.55</w:t>
            </w:r>
          </w:p>
        </w:tc>
      </w:tr>
      <w:tr w:rsidR="00D25AAE" w:rsidRPr="00D25AAE" w14:paraId="1060B4AE"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5D1186A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898" w:type="dxa"/>
            <w:tcBorders>
              <w:top w:val="nil"/>
              <w:left w:val="nil"/>
              <w:bottom w:val="nil"/>
              <w:right w:val="nil"/>
            </w:tcBorders>
            <w:shd w:val="clear" w:color="auto" w:fill="auto"/>
            <w:vAlign w:val="center"/>
            <w:hideMark/>
          </w:tcPr>
          <w:p w14:paraId="04683A79"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single" w:sz="4" w:space="0" w:color="auto"/>
            </w:tcBorders>
            <w:shd w:val="clear" w:color="auto" w:fill="auto"/>
            <w:vAlign w:val="center"/>
            <w:hideMark/>
          </w:tcPr>
          <w:p w14:paraId="2D97DA1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60" w:type="dxa"/>
            <w:tcBorders>
              <w:top w:val="nil"/>
              <w:left w:val="nil"/>
              <w:bottom w:val="nil"/>
              <w:right w:val="nil"/>
            </w:tcBorders>
            <w:shd w:val="clear" w:color="auto" w:fill="auto"/>
            <w:noWrap/>
            <w:vAlign w:val="bottom"/>
            <w:hideMark/>
          </w:tcPr>
          <w:p w14:paraId="3596B60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71D1957C"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00B19712"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690029C9"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Object-Number Seq.</w:t>
            </w:r>
          </w:p>
        </w:tc>
        <w:tc>
          <w:tcPr>
            <w:tcW w:w="898" w:type="dxa"/>
            <w:tcBorders>
              <w:top w:val="nil"/>
              <w:left w:val="nil"/>
              <w:bottom w:val="nil"/>
              <w:right w:val="nil"/>
            </w:tcBorders>
            <w:shd w:val="clear" w:color="auto" w:fill="auto"/>
            <w:vAlign w:val="center"/>
            <w:hideMark/>
          </w:tcPr>
          <w:p w14:paraId="464FF52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OBJNUM</w:t>
            </w:r>
          </w:p>
        </w:tc>
        <w:tc>
          <w:tcPr>
            <w:tcW w:w="776" w:type="dxa"/>
            <w:tcBorders>
              <w:top w:val="nil"/>
              <w:left w:val="nil"/>
              <w:bottom w:val="nil"/>
              <w:right w:val="single" w:sz="4" w:space="0" w:color="auto"/>
            </w:tcBorders>
            <w:shd w:val="clear" w:color="auto" w:fill="auto"/>
            <w:vAlign w:val="center"/>
            <w:hideMark/>
          </w:tcPr>
          <w:p w14:paraId="047D0A61"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Gwm</w:t>
            </w:r>
          </w:p>
        </w:tc>
        <w:tc>
          <w:tcPr>
            <w:tcW w:w="660" w:type="dxa"/>
            <w:tcBorders>
              <w:top w:val="nil"/>
              <w:left w:val="nil"/>
              <w:bottom w:val="nil"/>
              <w:right w:val="nil"/>
            </w:tcBorders>
            <w:shd w:val="clear" w:color="auto" w:fill="auto"/>
            <w:noWrap/>
            <w:hideMark/>
          </w:tcPr>
          <w:p w14:paraId="4C03CE9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0.69</w:t>
            </w:r>
          </w:p>
        </w:tc>
        <w:tc>
          <w:tcPr>
            <w:tcW w:w="640" w:type="dxa"/>
            <w:tcBorders>
              <w:top w:val="nil"/>
              <w:left w:val="nil"/>
              <w:bottom w:val="nil"/>
              <w:right w:val="nil"/>
            </w:tcBorders>
            <w:shd w:val="clear" w:color="auto" w:fill="auto"/>
            <w:noWrap/>
            <w:hideMark/>
          </w:tcPr>
          <w:p w14:paraId="4919DFF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0.67</w:t>
            </w:r>
          </w:p>
        </w:tc>
      </w:tr>
      <w:tr w:rsidR="00D25AAE" w:rsidRPr="00D25AAE" w14:paraId="199A2E02"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37FD3195"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Memory for Words</w:t>
            </w:r>
          </w:p>
        </w:tc>
        <w:tc>
          <w:tcPr>
            <w:tcW w:w="898" w:type="dxa"/>
            <w:tcBorders>
              <w:top w:val="nil"/>
              <w:left w:val="nil"/>
              <w:bottom w:val="nil"/>
              <w:right w:val="nil"/>
            </w:tcBorders>
            <w:shd w:val="clear" w:color="auto" w:fill="auto"/>
            <w:vAlign w:val="center"/>
            <w:hideMark/>
          </w:tcPr>
          <w:p w14:paraId="0763E2C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MEMWRD</w:t>
            </w:r>
          </w:p>
        </w:tc>
        <w:tc>
          <w:tcPr>
            <w:tcW w:w="776" w:type="dxa"/>
            <w:tcBorders>
              <w:top w:val="nil"/>
              <w:left w:val="nil"/>
              <w:bottom w:val="nil"/>
              <w:right w:val="single" w:sz="4" w:space="0" w:color="auto"/>
            </w:tcBorders>
            <w:shd w:val="clear" w:color="auto" w:fill="auto"/>
            <w:vAlign w:val="center"/>
            <w:hideMark/>
          </w:tcPr>
          <w:p w14:paraId="1DFF6301"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Gwm</w:t>
            </w:r>
          </w:p>
        </w:tc>
        <w:tc>
          <w:tcPr>
            <w:tcW w:w="660" w:type="dxa"/>
            <w:tcBorders>
              <w:top w:val="nil"/>
              <w:left w:val="nil"/>
              <w:bottom w:val="nil"/>
              <w:right w:val="nil"/>
            </w:tcBorders>
            <w:shd w:val="clear" w:color="auto" w:fill="auto"/>
            <w:noWrap/>
            <w:hideMark/>
          </w:tcPr>
          <w:p w14:paraId="6985E31F"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0.63</w:t>
            </w:r>
          </w:p>
        </w:tc>
        <w:tc>
          <w:tcPr>
            <w:tcW w:w="640" w:type="dxa"/>
            <w:tcBorders>
              <w:top w:val="nil"/>
              <w:left w:val="nil"/>
              <w:bottom w:val="nil"/>
              <w:right w:val="nil"/>
            </w:tcBorders>
            <w:shd w:val="clear" w:color="auto" w:fill="auto"/>
            <w:noWrap/>
            <w:hideMark/>
          </w:tcPr>
          <w:p w14:paraId="5066FA39"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0.60</w:t>
            </w:r>
          </w:p>
        </w:tc>
      </w:tr>
      <w:tr w:rsidR="00D25AAE" w:rsidRPr="00D25AAE" w14:paraId="0FB28A50"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4AE3B946"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Verbal Attention</w:t>
            </w:r>
          </w:p>
        </w:tc>
        <w:tc>
          <w:tcPr>
            <w:tcW w:w="898" w:type="dxa"/>
            <w:tcBorders>
              <w:top w:val="nil"/>
              <w:left w:val="nil"/>
              <w:bottom w:val="nil"/>
              <w:right w:val="nil"/>
            </w:tcBorders>
            <w:shd w:val="clear" w:color="auto" w:fill="auto"/>
            <w:vAlign w:val="center"/>
            <w:hideMark/>
          </w:tcPr>
          <w:p w14:paraId="1D47954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VRBATN</w:t>
            </w:r>
          </w:p>
        </w:tc>
        <w:tc>
          <w:tcPr>
            <w:tcW w:w="776" w:type="dxa"/>
            <w:tcBorders>
              <w:top w:val="nil"/>
              <w:left w:val="nil"/>
              <w:bottom w:val="nil"/>
              <w:right w:val="single" w:sz="4" w:space="0" w:color="auto"/>
            </w:tcBorders>
            <w:shd w:val="clear" w:color="auto" w:fill="auto"/>
            <w:vAlign w:val="center"/>
            <w:hideMark/>
          </w:tcPr>
          <w:p w14:paraId="5E35F53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Gwm</w:t>
            </w:r>
          </w:p>
        </w:tc>
        <w:tc>
          <w:tcPr>
            <w:tcW w:w="660" w:type="dxa"/>
            <w:tcBorders>
              <w:top w:val="nil"/>
              <w:left w:val="nil"/>
              <w:bottom w:val="nil"/>
              <w:right w:val="nil"/>
            </w:tcBorders>
            <w:shd w:val="clear" w:color="auto" w:fill="auto"/>
            <w:noWrap/>
            <w:hideMark/>
          </w:tcPr>
          <w:p w14:paraId="570D42E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0.64</w:t>
            </w:r>
          </w:p>
        </w:tc>
        <w:tc>
          <w:tcPr>
            <w:tcW w:w="640" w:type="dxa"/>
            <w:tcBorders>
              <w:top w:val="nil"/>
              <w:left w:val="nil"/>
              <w:bottom w:val="nil"/>
              <w:right w:val="nil"/>
            </w:tcBorders>
            <w:shd w:val="clear" w:color="auto" w:fill="auto"/>
            <w:noWrap/>
            <w:hideMark/>
          </w:tcPr>
          <w:p w14:paraId="32CD794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0.61</w:t>
            </w:r>
          </w:p>
        </w:tc>
      </w:tr>
      <w:tr w:rsidR="00D25AAE" w:rsidRPr="00D25AAE" w14:paraId="452B0AE0"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4F70D9A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898" w:type="dxa"/>
            <w:tcBorders>
              <w:top w:val="nil"/>
              <w:left w:val="nil"/>
              <w:bottom w:val="nil"/>
              <w:right w:val="nil"/>
            </w:tcBorders>
            <w:shd w:val="clear" w:color="auto" w:fill="auto"/>
            <w:vAlign w:val="center"/>
            <w:hideMark/>
          </w:tcPr>
          <w:p w14:paraId="375ADD85"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single" w:sz="4" w:space="0" w:color="auto"/>
            </w:tcBorders>
            <w:shd w:val="clear" w:color="auto" w:fill="auto"/>
            <w:vAlign w:val="center"/>
            <w:hideMark/>
          </w:tcPr>
          <w:p w14:paraId="33F108D7"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60" w:type="dxa"/>
            <w:tcBorders>
              <w:top w:val="nil"/>
              <w:left w:val="nil"/>
              <w:bottom w:val="nil"/>
              <w:right w:val="nil"/>
            </w:tcBorders>
            <w:shd w:val="clear" w:color="auto" w:fill="auto"/>
            <w:noWrap/>
            <w:vAlign w:val="bottom"/>
            <w:hideMark/>
          </w:tcPr>
          <w:p w14:paraId="40ECEB8F"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5C15A36A"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236DCC70"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1F4D0666"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Letter-Pattern Matching</w:t>
            </w:r>
          </w:p>
        </w:tc>
        <w:tc>
          <w:tcPr>
            <w:tcW w:w="898" w:type="dxa"/>
            <w:tcBorders>
              <w:top w:val="nil"/>
              <w:left w:val="nil"/>
              <w:bottom w:val="nil"/>
              <w:right w:val="nil"/>
            </w:tcBorders>
            <w:shd w:val="clear" w:color="auto" w:fill="auto"/>
            <w:vAlign w:val="center"/>
            <w:hideMark/>
          </w:tcPr>
          <w:p w14:paraId="68FB346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LETPAT</w:t>
            </w:r>
          </w:p>
        </w:tc>
        <w:tc>
          <w:tcPr>
            <w:tcW w:w="776" w:type="dxa"/>
            <w:tcBorders>
              <w:top w:val="nil"/>
              <w:left w:val="nil"/>
              <w:bottom w:val="nil"/>
              <w:right w:val="single" w:sz="4" w:space="0" w:color="auto"/>
            </w:tcBorders>
            <w:shd w:val="clear" w:color="auto" w:fill="auto"/>
            <w:vAlign w:val="center"/>
            <w:hideMark/>
          </w:tcPr>
          <w:p w14:paraId="0816E403"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Gs</w:t>
            </w:r>
          </w:p>
        </w:tc>
        <w:tc>
          <w:tcPr>
            <w:tcW w:w="660" w:type="dxa"/>
            <w:tcBorders>
              <w:top w:val="nil"/>
              <w:left w:val="nil"/>
              <w:bottom w:val="nil"/>
              <w:right w:val="nil"/>
            </w:tcBorders>
            <w:shd w:val="clear" w:color="auto" w:fill="auto"/>
            <w:noWrap/>
            <w:hideMark/>
          </w:tcPr>
          <w:p w14:paraId="7135F338"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0.53</w:t>
            </w:r>
          </w:p>
        </w:tc>
        <w:tc>
          <w:tcPr>
            <w:tcW w:w="640" w:type="dxa"/>
            <w:tcBorders>
              <w:top w:val="nil"/>
              <w:left w:val="nil"/>
              <w:bottom w:val="nil"/>
              <w:right w:val="nil"/>
            </w:tcBorders>
            <w:shd w:val="clear" w:color="auto" w:fill="auto"/>
            <w:noWrap/>
            <w:hideMark/>
          </w:tcPr>
          <w:p w14:paraId="3DC0AB0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0.50</w:t>
            </w:r>
          </w:p>
        </w:tc>
      </w:tr>
      <w:tr w:rsidR="00D25AAE" w:rsidRPr="00D25AAE" w14:paraId="0440B96F"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4648B490"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Number-Pattern Matching</w:t>
            </w:r>
          </w:p>
        </w:tc>
        <w:tc>
          <w:tcPr>
            <w:tcW w:w="898" w:type="dxa"/>
            <w:tcBorders>
              <w:top w:val="nil"/>
              <w:left w:val="nil"/>
              <w:bottom w:val="nil"/>
              <w:right w:val="nil"/>
            </w:tcBorders>
            <w:shd w:val="clear" w:color="auto" w:fill="auto"/>
            <w:vAlign w:val="center"/>
            <w:hideMark/>
          </w:tcPr>
          <w:p w14:paraId="6E43C3EA"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NUMPAT</w:t>
            </w:r>
          </w:p>
        </w:tc>
        <w:tc>
          <w:tcPr>
            <w:tcW w:w="776" w:type="dxa"/>
            <w:tcBorders>
              <w:top w:val="nil"/>
              <w:left w:val="nil"/>
              <w:bottom w:val="nil"/>
              <w:right w:val="single" w:sz="4" w:space="0" w:color="auto"/>
            </w:tcBorders>
            <w:shd w:val="clear" w:color="auto" w:fill="auto"/>
            <w:vAlign w:val="center"/>
            <w:hideMark/>
          </w:tcPr>
          <w:p w14:paraId="38BFCC6A"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Gs</w:t>
            </w:r>
          </w:p>
        </w:tc>
        <w:tc>
          <w:tcPr>
            <w:tcW w:w="660" w:type="dxa"/>
            <w:tcBorders>
              <w:top w:val="nil"/>
              <w:left w:val="nil"/>
              <w:bottom w:val="nil"/>
              <w:right w:val="nil"/>
            </w:tcBorders>
            <w:shd w:val="clear" w:color="auto" w:fill="auto"/>
            <w:noWrap/>
            <w:hideMark/>
          </w:tcPr>
          <w:p w14:paraId="3111C14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0.53</w:t>
            </w:r>
          </w:p>
        </w:tc>
        <w:tc>
          <w:tcPr>
            <w:tcW w:w="640" w:type="dxa"/>
            <w:tcBorders>
              <w:top w:val="nil"/>
              <w:left w:val="nil"/>
              <w:bottom w:val="nil"/>
              <w:right w:val="nil"/>
            </w:tcBorders>
            <w:shd w:val="clear" w:color="auto" w:fill="auto"/>
            <w:noWrap/>
            <w:hideMark/>
          </w:tcPr>
          <w:p w14:paraId="113047D7"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0.50</w:t>
            </w:r>
          </w:p>
        </w:tc>
      </w:tr>
      <w:tr w:rsidR="00D25AAE" w:rsidRPr="00D25AAE" w14:paraId="638B2651"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42167EE3"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Pair Cancellation</w:t>
            </w:r>
          </w:p>
        </w:tc>
        <w:tc>
          <w:tcPr>
            <w:tcW w:w="898" w:type="dxa"/>
            <w:tcBorders>
              <w:top w:val="nil"/>
              <w:left w:val="nil"/>
              <w:bottom w:val="nil"/>
              <w:right w:val="nil"/>
            </w:tcBorders>
            <w:shd w:val="clear" w:color="auto" w:fill="auto"/>
            <w:vAlign w:val="center"/>
            <w:hideMark/>
          </w:tcPr>
          <w:p w14:paraId="740EA0B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PAIRCN</w:t>
            </w:r>
          </w:p>
        </w:tc>
        <w:tc>
          <w:tcPr>
            <w:tcW w:w="776" w:type="dxa"/>
            <w:tcBorders>
              <w:top w:val="nil"/>
              <w:left w:val="nil"/>
              <w:bottom w:val="nil"/>
              <w:right w:val="single" w:sz="4" w:space="0" w:color="auto"/>
            </w:tcBorders>
            <w:shd w:val="clear" w:color="auto" w:fill="auto"/>
            <w:vAlign w:val="center"/>
            <w:hideMark/>
          </w:tcPr>
          <w:p w14:paraId="70381C3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Gs</w:t>
            </w:r>
          </w:p>
        </w:tc>
        <w:tc>
          <w:tcPr>
            <w:tcW w:w="660" w:type="dxa"/>
            <w:tcBorders>
              <w:top w:val="nil"/>
              <w:left w:val="nil"/>
              <w:bottom w:val="nil"/>
              <w:right w:val="nil"/>
            </w:tcBorders>
            <w:shd w:val="clear" w:color="auto" w:fill="auto"/>
            <w:noWrap/>
            <w:hideMark/>
          </w:tcPr>
          <w:p w14:paraId="339F498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0.52</w:t>
            </w:r>
          </w:p>
        </w:tc>
        <w:tc>
          <w:tcPr>
            <w:tcW w:w="640" w:type="dxa"/>
            <w:tcBorders>
              <w:top w:val="nil"/>
              <w:left w:val="nil"/>
              <w:bottom w:val="nil"/>
              <w:right w:val="nil"/>
            </w:tcBorders>
            <w:shd w:val="clear" w:color="auto" w:fill="auto"/>
            <w:noWrap/>
            <w:hideMark/>
          </w:tcPr>
          <w:p w14:paraId="00D4173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0.49</w:t>
            </w:r>
          </w:p>
        </w:tc>
      </w:tr>
      <w:tr w:rsidR="00D25AAE" w:rsidRPr="00D25AAE" w14:paraId="488088C9" w14:textId="77777777" w:rsidTr="0030494A">
        <w:trPr>
          <w:trHeight w:val="270"/>
        </w:trPr>
        <w:tc>
          <w:tcPr>
            <w:tcW w:w="2190" w:type="dxa"/>
            <w:gridSpan w:val="2"/>
            <w:tcBorders>
              <w:top w:val="nil"/>
              <w:left w:val="nil"/>
              <w:bottom w:val="nil"/>
              <w:right w:val="nil"/>
            </w:tcBorders>
            <w:shd w:val="clear" w:color="auto" w:fill="auto"/>
            <w:noWrap/>
            <w:vAlign w:val="bottom"/>
            <w:hideMark/>
          </w:tcPr>
          <w:p w14:paraId="6C49D800"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898" w:type="dxa"/>
            <w:tcBorders>
              <w:top w:val="nil"/>
              <w:left w:val="nil"/>
              <w:bottom w:val="nil"/>
              <w:right w:val="nil"/>
            </w:tcBorders>
            <w:shd w:val="clear" w:color="auto" w:fill="auto"/>
            <w:noWrap/>
            <w:vAlign w:val="bottom"/>
            <w:hideMark/>
          </w:tcPr>
          <w:p w14:paraId="67F076DA"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single" w:sz="4" w:space="0" w:color="auto"/>
            </w:tcBorders>
            <w:shd w:val="clear" w:color="auto" w:fill="auto"/>
            <w:noWrap/>
            <w:vAlign w:val="bottom"/>
            <w:hideMark/>
          </w:tcPr>
          <w:p w14:paraId="0F0C76F8"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60" w:type="dxa"/>
            <w:tcBorders>
              <w:top w:val="nil"/>
              <w:left w:val="nil"/>
              <w:bottom w:val="nil"/>
              <w:right w:val="nil"/>
            </w:tcBorders>
            <w:shd w:val="clear" w:color="auto" w:fill="auto"/>
            <w:noWrap/>
            <w:vAlign w:val="bottom"/>
            <w:hideMark/>
          </w:tcPr>
          <w:p w14:paraId="6C3CBF8A"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718CFADB"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70F88196" w14:textId="77777777" w:rsidTr="0030494A">
        <w:trPr>
          <w:trHeight w:val="270"/>
        </w:trPr>
        <w:tc>
          <w:tcPr>
            <w:tcW w:w="2190" w:type="dxa"/>
            <w:gridSpan w:val="2"/>
            <w:tcBorders>
              <w:top w:val="nil"/>
              <w:left w:val="nil"/>
              <w:bottom w:val="nil"/>
              <w:right w:val="nil"/>
            </w:tcBorders>
            <w:shd w:val="clear" w:color="auto" w:fill="auto"/>
            <w:vAlign w:val="center"/>
            <w:hideMark/>
          </w:tcPr>
          <w:p w14:paraId="060C7026"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Number Series</w:t>
            </w:r>
          </w:p>
        </w:tc>
        <w:tc>
          <w:tcPr>
            <w:tcW w:w="898" w:type="dxa"/>
            <w:tcBorders>
              <w:top w:val="nil"/>
              <w:left w:val="nil"/>
              <w:bottom w:val="nil"/>
              <w:right w:val="nil"/>
            </w:tcBorders>
            <w:shd w:val="clear" w:color="auto" w:fill="auto"/>
            <w:vAlign w:val="center"/>
            <w:hideMark/>
          </w:tcPr>
          <w:p w14:paraId="26370F37"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NUMSER</w:t>
            </w:r>
          </w:p>
        </w:tc>
        <w:tc>
          <w:tcPr>
            <w:tcW w:w="776" w:type="dxa"/>
            <w:tcBorders>
              <w:top w:val="nil"/>
              <w:left w:val="nil"/>
              <w:bottom w:val="nil"/>
              <w:right w:val="single" w:sz="4" w:space="0" w:color="auto"/>
            </w:tcBorders>
            <w:shd w:val="clear" w:color="auto" w:fill="auto"/>
            <w:vAlign w:val="center"/>
            <w:hideMark/>
          </w:tcPr>
          <w:p w14:paraId="294F674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Gq</w:t>
            </w:r>
          </w:p>
        </w:tc>
        <w:tc>
          <w:tcPr>
            <w:tcW w:w="660" w:type="dxa"/>
            <w:tcBorders>
              <w:top w:val="nil"/>
              <w:left w:val="nil"/>
              <w:bottom w:val="nil"/>
              <w:right w:val="nil"/>
            </w:tcBorders>
            <w:shd w:val="clear" w:color="auto" w:fill="auto"/>
            <w:noWrap/>
            <w:vAlign w:val="bottom"/>
            <w:hideMark/>
          </w:tcPr>
          <w:p w14:paraId="663AE942"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7D13859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1D5C910E" w14:textId="77777777" w:rsidTr="0030494A">
        <w:trPr>
          <w:trHeight w:val="270"/>
        </w:trPr>
        <w:tc>
          <w:tcPr>
            <w:tcW w:w="2190" w:type="dxa"/>
            <w:gridSpan w:val="2"/>
            <w:tcBorders>
              <w:top w:val="nil"/>
              <w:left w:val="nil"/>
              <w:bottom w:val="nil"/>
              <w:right w:val="nil"/>
            </w:tcBorders>
            <w:shd w:val="clear" w:color="auto" w:fill="auto"/>
            <w:vAlign w:val="center"/>
            <w:hideMark/>
          </w:tcPr>
          <w:p w14:paraId="08905D65"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Applied Problems</w:t>
            </w:r>
          </w:p>
        </w:tc>
        <w:tc>
          <w:tcPr>
            <w:tcW w:w="898" w:type="dxa"/>
            <w:tcBorders>
              <w:top w:val="nil"/>
              <w:left w:val="nil"/>
              <w:bottom w:val="nil"/>
              <w:right w:val="nil"/>
            </w:tcBorders>
            <w:shd w:val="clear" w:color="auto" w:fill="auto"/>
            <w:vAlign w:val="center"/>
            <w:hideMark/>
          </w:tcPr>
          <w:p w14:paraId="255B8F96"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APPROB</w:t>
            </w:r>
          </w:p>
        </w:tc>
        <w:tc>
          <w:tcPr>
            <w:tcW w:w="776" w:type="dxa"/>
            <w:tcBorders>
              <w:top w:val="nil"/>
              <w:left w:val="nil"/>
              <w:bottom w:val="nil"/>
              <w:right w:val="single" w:sz="4" w:space="0" w:color="auto"/>
            </w:tcBorders>
            <w:shd w:val="clear" w:color="auto" w:fill="auto"/>
            <w:vAlign w:val="center"/>
            <w:hideMark/>
          </w:tcPr>
          <w:p w14:paraId="44A02131"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Gq</w:t>
            </w:r>
          </w:p>
        </w:tc>
        <w:tc>
          <w:tcPr>
            <w:tcW w:w="660" w:type="dxa"/>
            <w:tcBorders>
              <w:top w:val="nil"/>
              <w:left w:val="nil"/>
              <w:bottom w:val="nil"/>
              <w:right w:val="nil"/>
            </w:tcBorders>
            <w:shd w:val="clear" w:color="auto" w:fill="auto"/>
            <w:noWrap/>
            <w:vAlign w:val="bottom"/>
            <w:hideMark/>
          </w:tcPr>
          <w:p w14:paraId="4E263B61"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nil"/>
              <w:right w:val="nil"/>
            </w:tcBorders>
            <w:shd w:val="clear" w:color="auto" w:fill="auto"/>
            <w:noWrap/>
            <w:vAlign w:val="bottom"/>
            <w:hideMark/>
          </w:tcPr>
          <w:p w14:paraId="2BC0C54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r>
      <w:tr w:rsidR="00D25AAE" w:rsidRPr="00D25AAE" w14:paraId="4A8E0FB4" w14:textId="77777777" w:rsidTr="0030494A">
        <w:trPr>
          <w:trHeight w:val="270"/>
        </w:trPr>
        <w:tc>
          <w:tcPr>
            <w:tcW w:w="2190" w:type="dxa"/>
            <w:gridSpan w:val="2"/>
            <w:tcBorders>
              <w:top w:val="nil"/>
              <w:left w:val="nil"/>
              <w:bottom w:val="single" w:sz="4" w:space="0" w:color="auto"/>
              <w:right w:val="nil"/>
            </w:tcBorders>
            <w:shd w:val="clear" w:color="auto" w:fill="auto"/>
            <w:vAlign w:val="center"/>
            <w:hideMark/>
          </w:tcPr>
          <w:p w14:paraId="03358747"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Calculation</w:t>
            </w:r>
          </w:p>
        </w:tc>
        <w:tc>
          <w:tcPr>
            <w:tcW w:w="898" w:type="dxa"/>
            <w:tcBorders>
              <w:top w:val="nil"/>
              <w:left w:val="nil"/>
              <w:bottom w:val="single" w:sz="4" w:space="0" w:color="auto"/>
              <w:right w:val="nil"/>
            </w:tcBorders>
            <w:shd w:val="clear" w:color="auto" w:fill="auto"/>
            <w:vAlign w:val="center"/>
            <w:hideMark/>
          </w:tcPr>
          <w:p w14:paraId="37936352"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CALC</w:t>
            </w:r>
          </w:p>
        </w:tc>
        <w:tc>
          <w:tcPr>
            <w:tcW w:w="776" w:type="dxa"/>
            <w:tcBorders>
              <w:top w:val="nil"/>
              <w:left w:val="nil"/>
              <w:bottom w:val="single" w:sz="4" w:space="0" w:color="auto"/>
              <w:right w:val="single" w:sz="4" w:space="0" w:color="auto"/>
            </w:tcBorders>
            <w:shd w:val="clear" w:color="auto" w:fill="auto"/>
            <w:vAlign w:val="center"/>
            <w:hideMark/>
          </w:tcPr>
          <w:p w14:paraId="2C5600EE"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Gq</w:t>
            </w:r>
          </w:p>
        </w:tc>
        <w:tc>
          <w:tcPr>
            <w:tcW w:w="660" w:type="dxa"/>
            <w:tcBorders>
              <w:top w:val="nil"/>
              <w:left w:val="nil"/>
              <w:bottom w:val="single" w:sz="4" w:space="0" w:color="auto"/>
              <w:right w:val="nil"/>
            </w:tcBorders>
            <w:shd w:val="clear" w:color="auto" w:fill="auto"/>
            <w:noWrap/>
            <w:vAlign w:val="bottom"/>
            <w:hideMark/>
          </w:tcPr>
          <w:p w14:paraId="7A6E878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c>
          <w:tcPr>
            <w:tcW w:w="640" w:type="dxa"/>
            <w:tcBorders>
              <w:top w:val="nil"/>
              <w:left w:val="nil"/>
              <w:bottom w:val="single" w:sz="4" w:space="0" w:color="auto"/>
              <w:right w:val="nil"/>
            </w:tcBorders>
            <w:shd w:val="clear" w:color="auto" w:fill="auto"/>
            <w:noWrap/>
            <w:vAlign w:val="bottom"/>
            <w:hideMark/>
          </w:tcPr>
          <w:p w14:paraId="7D51EA14"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w:t>
            </w:r>
          </w:p>
        </w:tc>
      </w:tr>
      <w:tr w:rsidR="00D25AAE" w:rsidRPr="00D25AAE" w14:paraId="4850D6FB" w14:textId="77777777" w:rsidTr="00D25AAE">
        <w:trPr>
          <w:trHeight w:val="319"/>
        </w:trPr>
        <w:tc>
          <w:tcPr>
            <w:tcW w:w="2080" w:type="dxa"/>
            <w:tcBorders>
              <w:top w:val="nil"/>
              <w:left w:val="nil"/>
              <w:bottom w:val="nil"/>
              <w:right w:val="nil"/>
            </w:tcBorders>
            <w:shd w:val="clear" w:color="auto" w:fill="auto"/>
            <w:noWrap/>
            <w:vAlign w:val="bottom"/>
            <w:hideMark/>
          </w:tcPr>
          <w:p w14:paraId="46FD51C5" w14:textId="77777777" w:rsidR="00D25AAE" w:rsidRPr="00D25AAE" w:rsidRDefault="00D25AAE" w:rsidP="00D25AAE">
            <w:pPr>
              <w:spacing w:after="0" w:line="240" w:lineRule="auto"/>
              <w:jc w:val="center"/>
              <w:rPr>
                <w:rFonts w:ascii="Palatino Linotype" w:eastAsia="Times New Roman" w:hAnsi="Palatino Linotype" w:cs="Calibri"/>
                <w:color w:val="000000"/>
                <w:sz w:val="16"/>
                <w:szCs w:val="16"/>
              </w:rPr>
            </w:pPr>
          </w:p>
        </w:tc>
        <w:tc>
          <w:tcPr>
            <w:tcW w:w="1008" w:type="dxa"/>
            <w:gridSpan w:val="2"/>
            <w:tcBorders>
              <w:top w:val="nil"/>
              <w:left w:val="nil"/>
              <w:bottom w:val="nil"/>
              <w:right w:val="nil"/>
            </w:tcBorders>
            <w:shd w:val="clear" w:color="auto" w:fill="auto"/>
            <w:noWrap/>
            <w:vAlign w:val="bottom"/>
            <w:hideMark/>
          </w:tcPr>
          <w:p w14:paraId="7F36C330"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776" w:type="dxa"/>
            <w:tcBorders>
              <w:top w:val="nil"/>
              <w:left w:val="nil"/>
              <w:bottom w:val="nil"/>
              <w:right w:val="nil"/>
            </w:tcBorders>
            <w:shd w:val="clear" w:color="auto" w:fill="auto"/>
            <w:noWrap/>
            <w:vAlign w:val="bottom"/>
            <w:hideMark/>
          </w:tcPr>
          <w:p w14:paraId="72EAF35B"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660" w:type="dxa"/>
            <w:tcBorders>
              <w:top w:val="nil"/>
              <w:left w:val="nil"/>
              <w:bottom w:val="nil"/>
              <w:right w:val="nil"/>
            </w:tcBorders>
            <w:shd w:val="clear" w:color="auto" w:fill="auto"/>
            <w:noWrap/>
            <w:vAlign w:val="bottom"/>
            <w:hideMark/>
          </w:tcPr>
          <w:p w14:paraId="3A86F20E" w14:textId="77777777" w:rsidR="00D25AAE" w:rsidRPr="00D25AAE" w:rsidRDefault="00D25AAE" w:rsidP="00D25AAE">
            <w:pPr>
              <w:spacing w:after="0" w:line="240" w:lineRule="auto"/>
              <w:rPr>
                <w:rFonts w:ascii="Times New Roman" w:eastAsia="Times New Roman" w:hAnsi="Times New Roman" w:cs="Times New Roman"/>
                <w:sz w:val="20"/>
                <w:szCs w:val="20"/>
              </w:rPr>
            </w:pPr>
          </w:p>
        </w:tc>
        <w:tc>
          <w:tcPr>
            <w:tcW w:w="640" w:type="dxa"/>
            <w:tcBorders>
              <w:top w:val="nil"/>
              <w:left w:val="nil"/>
              <w:bottom w:val="nil"/>
              <w:right w:val="nil"/>
            </w:tcBorders>
            <w:shd w:val="clear" w:color="auto" w:fill="auto"/>
            <w:noWrap/>
            <w:vAlign w:val="bottom"/>
            <w:hideMark/>
          </w:tcPr>
          <w:p w14:paraId="6600D0A2" w14:textId="77777777" w:rsidR="00D25AAE" w:rsidRPr="00D25AAE" w:rsidRDefault="00D25AAE" w:rsidP="00D25AAE">
            <w:pPr>
              <w:spacing w:after="0" w:line="240" w:lineRule="auto"/>
              <w:rPr>
                <w:rFonts w:ascii="Times New Roman" w:eastAsia="Times New Roman" w:hAnsi="Times New Roman" w:cs="Times New Roman"/>
                <w:sz w:val="20"/>
                <w:szCs w:val="20"/>
              </w:rPr>
            </w:pPr>
          </w:p>
        </w:tc>
      </w:tr>
      <w:tr w:rsidR="00D25AAE" w:rsidRPr="00D25AAE" w14:paraId="173E52FA" w14:textId="77777777" w:rsidTr="00D25AAE">
        <w:trPr>
          <w:trHeight w:val="270"/>
        </w:trPr>
        <w:tc>
          <w:tcPr>
            <w:tcW w:w="5164" w:type="dxa"/>
            <w:gridSpan w:val="6"/>
            <w:tcBorders>
              <w:top w:val="nil"/>
              <w:left w:val="nil"/>
              <w:bottom w:val="nil"/>
              <w:right w:val="nil"/>
            </w:tcBorders>
            <w:shd w:val="clear" w:color="auto" w:fill="auto"/>
            <w:noWrap/>
            <w:vAlign w:val="bottom"/>
            <w:hideMark/>
          </w:tcPr>
          <w:p w14:paraId="605425E3"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u w:val="single"/>
              </w:rPr>
              <w:t>Note</w:t>
            </w:r>
            <w:r w:rsidRPr="00D25AAE">
              <w:rPr>
                <w:rFonts w:ascii="Palatino Linotype" w:eastAsia="Times New Roman" w:hAnsi="Palatino Linotype" w:cs="Calibri"/>
                <w:color w:val="000000"/>
                <w:sz w:val="16"/>
                <w:szCs w:val="16"/>
              </w:rPr>
              <w:t xml:space="preserve">.  Correlations between measures respective </w:t>
            </w:r>
            <w:r w:rsidRPr="00D25AAE">
              <w:rPr>
                <w:rFonts w:ascii="Palatino Linotype" w:eastAsia="Times New Roman" w:hAnsi="Palatino Linotype" w:cs="Calibri"/>
                <w:i/>
                <w:iCs/>
                <w:color w:val="000000"/>
                <w:sz w:val="16"/>
                <w:szCs w:val="16"/>
              </w:rPr>
              <w:t>g-</w:t>
            </w:r>
            <w:r w:rsidRPr="00D25AAE">
              <w:rPr>
                <w:rFonts w:ascii="Palatino Linotype" w:eastAsia="Times New Roman" w:hAnsi="Palatino Linotype" w:cs="Calibri"/>
                <w:color w:val="000000"/>
                <w:sz w:val="16"/>
                <w:szCs w:val="16"/>
              </w:rPr>
              <w:t xml:space="preserve">loadings (PCA) </w:t>
            </w:r>
          </w:p>
        </w:tc>
      </w:tr>
      <w:tr w:rsidR="00D25AAE" w:rsidRPr="00D25AAE" w14:paraId="62F9ABC2" w14:textId="77777777" w:rsidTr="00D25AAE">
        <w:trPr>
          <w:trHeight w:val="270"/>
        </w:trPr>
        <w:tc>
          <w:tcPr>
            <w:tcW w:w="5164" w:type="dxa"/>
            <w:gridSpan w:val="6"/>
            <w:tcBorders>
              <w:top w:val="nil"/>
              <w:left w:val="nil"/>
              <w:bottom w:val="nil"/>
              <w:right w:val="nil"/>
            </w:tcBorders>
            <w:shd w:val="clear" w:color="auto" w:fill="auto"/>
            <w:vAlign w:val="center"/>
            <w:hideMark/>
          </w:tcPr>
          <w:p w14:paraId="4D020EAC" w14:textId="77777777" w:rsidR="00D25AAE" w:rsidRPr="00D25AAE" w:rsidRDefault="00D25AAE" w:rsidP="00D25AAE">
            <w:pPr>
              <w:spacing w:after="0" w:line="240" w:lineRule="auto"/>
              <w:rPr>
                <w:rFonts w:ascii="Palatino Linotype" w:eastAsia="Times New Roman" w:hAnsi="Palatino Linotype" w:cs="Calibri"/>
                <w:color w:val="000000"/>
                <w:sz w:val="16"/>
                <w:szCs w:val="16"/>
              </w:rPr>
            </w:pPr>
            <w:r w:rsidRPr="00D25AAE">
              <w:rPr>
                <w:rFonts w:ascii="Palatino Linotype" w:eastAsia="Times New Roman" w:hAnsi="Palatino Linotype" w:cs="Calibri"/>
                <w:color w:val="000000"/>
                <w:sz w:val="16"/>
                <w:szCs w:val="16"/>
              </w:rPr>
              <w:t xml:space="preserve">and g-loadings (PAF) was .999 or approximately unity.  </w:t>
            </w:r>
          </w:p>
        </w:tc>
      </w:tr>
    </w:tbl>
    <w:p w14:paraId="2ABB4EB2" w14:textId="77777777" w:rsidR="00D25AAE" w:rsidRDefault="00D25AAE">
      <w:pPr>
        <w:rPr>
          <w:rFonts w:ascii="Palatino Linotype" w:hAnsi="Palatino Linotype"/>
          <w:b/>
          <w:bCs/>
        </w:rPr>
      </w:pPr>
      <w:r>
        <w:rPr>
          <w:rFonts w:ascii="Palatino Linotype" w:hAnsi="Palatino Linotype"/>
          <w:b/>
          <w:bCs/>
        </w:rPr>
        <w:br w:type="page"/>
      </w:r>
    </w:p>
    <w:p w14:paraId="45AF6BC0" w14:textId="4B8FA55D" w:rsidR="001035B7" w:rsidRDefault="007B3441" w:rsidP="006A29FC">
      <w:pPr>
        <w:spacing w:line="360" w:lineRule="auto"/>
        <w:jc w:val="center"/>
        <w:rPr>
          <w:rFonts w:ascii="Palatino Linotype" w:hAnsi="Palatino Linotype"/>
          <w:b/>
          <w:bCs/>
        </w:rPr>
      </w:pPr>
      <w:r w:rsidRPr="00FF5600">
        <w:rPr>
          <w:rFonts w:ascii="Palatino Linotype" w:hAnsi="Palatino Linotype"/>
          <w:b/>
          <w:bCs/>
        </w:rPr>
        <w:lastRenderedPageBreak/>
        <w:t xml:space="preserve">Appendix </w:t>
      </w:r>
      <w:r w:rsidR="007D29D6">
        <w:rPr>
          <w:rFonts w:ascii="Palatino Linotype" w:hAnsi="Palatino Linotype"/>
          <w:b/>
          <w:bCs/>
        </w:rPr>
        <w:t>G</w:t>
      </w:r>
      <w:r w:rsidRPr="00FF5600">
        <w:rPr>
          <w:rFonts w:ascii="Palatino Linotype" w:hAnsi="Palatino Linotype"/>
          <w:b/>
          <w:bCs/>
        </w:rPr>
        <w:t xml:space="preserve">:  </w:t>
      </w:r>
      <w:r w:rsidR="00383123" w:rsidRPr="00FF5600">
        <w:rPr>
          <w:rFonts w:ascii="Palatino Linotype" w:hAnsi="Palatino Linotype"/>
          <w:b/>
          <w:bCs/>
        </w:rPr>
        <w:t>Post-hoc 19-measure (Oral Comprehension excluded) Sensitivity</w:t>
      </w:r>
    </w:p>
    <w:p w14:paraId="71CB9942" w14:textId="7406D893" w:rsidR="007B3441" w:rsidRPr="00FF5600" w:rsidRDefault="00FF5600" w:rsidP="007B3441">
      <w:pPr>
        <w:spacing w:line="360" w:lineRule="auto"/>
        <w:jc w:val="center"/>
        <w:rPr>
          <w:rFonts w:ascii="Palatino Linotype" w:hAnsi="Palatino Linotype"/>
          <w:b/>
          <w:bCs/>
        </w:rPr>
      </w:pPr>
      <w:r w:rsidRPr="00FF5600">
        <w:rPr>
          <w:rFonts w:ascii="Palatino Linotype" w:hAnsi="Palatino Linotype"/>
          <w:b/>
          <w:bCs/>
        </w:rPr>
        <w:t>Model Analysis</w:t>
      </w:r>
    </w:p>
    <w:bookmarkEnd w:id="1"/>
    <w:p w14:paraId="0F08EB41" w14:textId="75E428D9" w:rsidR="00B17813" w:rsidRPr="00AE625F" w:rsidRDefault="00AE625F" w:rsidP="002631F7">
      <w:pPr>
        <w:spacing w:line="360" w:lineRule="auto"/>
        <w:ind w:firstLine="720"/>
        <w:rPr>
          <w:rFonts w:ascii="Palatino Linotype" w:hAnsi="Palatino Linotype"/>
        </w:rPr>
      </w:pPr>
      <w:r>
        <w:rPr>
          <w:rFonts w:ascii="Palatino Linotype" w:hAnsi="Palatino Linotype"/>
        </w:rPr>
        <w:t xml:space="preserve">Given the unexpected centrality of the Oral Comprehension measure, a post hoc </w:t>
      </w:r>
      <w:r w:rsidR="0004442E">
        <w:rPr>
          <w:rFonts w:ascii="Palatino Linotype" w:hAnsi="Palatino Linotype"/>
        </w:rPr>
        <w:t>sensitivity model analys</w:t>
      </w:r>
      <w:r w:rsidR="006A46EF">
        <w:rPr>
          <w:rFonts w:ascii="Palatino Linotype" w:hAnsi="Palatino Linotype"/>
        </w:rPr>
        <w:t>i</w:t>
      </w:r>
      <w:r w:rsidR="0004442E">
        <w:rPr>
          <w:rFonts w:ascii="Palatino Linotype" w:hAnsi="Palatino Linotype"/>
        </w:rPr>
        <w:t>s was completed w</w:t>
      </w:r>
      <w:r w:rsidR="002239DC">
        <w:rPr>
          <w:rFonts w:ascii="Palatino Linotype" w:hAnsi="Palatino Linotype"/>
        </w:rPr>
        <w:t xml:space="preserve">ith </w:t>
      </w:r>
      <w:r w:rsidR="0004442E">
        <w:rPr>
          <w:rFonts w:ascii="Palatino Linotype" w:hAnsi="Palatino Linotype"/>
        </w:rPr>
        <w:t>the Oral Comprehension measure excluded</w:t>
      </w:r>
      <w:proofErr w:type="gramStart"/>
      <w:r w:rsidR="00053BA0">
        <w:rPr>
          <w:rFonts w:ascii="Palatino Linotype" w:hAnsi="Palatino Linotype"/>
        </w:rPr>
        <w:t xml:space="preserve">. </w:t>
      </w:r>
      <w:proofErr w:type="gramEnd"/>
      <w:r w:rsidR="0004442E">
        <w:rPr>
          <w:rFonts w:ascii="Palatino Linotype" w:hAnsi="Palatino Linotype"/>
        </w:rPr>
        <w:t xml:space="preserve">The resulting 19-variable CHC network model is presented in Figure </w:t>
      </w:r>
      <w:r w:rsidR="00FA1682">
        <w:rPr>
          <w:rFonts w:ascii="Palatino Linotype" w:hAnsi="Palatino Linotype"/>
        </w:rPr>
        <w:t>G</w:t>
      </w:r>
      <w:r w:rsidR="0004442E">
        <w:rPr>
          <w:rFonts w:ascii="Palatino Linotype" w:hAnsi="Palatino Linotype"/>
        </w:rPr>
        <w:t>.</w:t>
      </w:r>
      <w:r w:rsidR="006C6166">
        <w:rPr>
          <w:rFonts w:ascii="Palatino Linotype" w:hAnsi="Palatino Linotype"/>
        </w:rPr>
        <w:t>1</w:t>
      </w:r>
      <w:r w:rsidR="0004442E">
        <w:rPr>
          <w:rFonts w:ascii="Palatino Linotype" w:hAnsi="Palatino Linotype"/>
        </w:rPr>
        <w:t xml:space="preserve">  The network centrality measure metrics for this model are presented in Table </w:t>
      </w:r>
      <w:r w:rsidR="00FA1682">
        <w:rPr>
          <w:rFonts w:ascii="Palatino Linotype" w:hAnsi="Palatino Linotype"/>
        </w:rPr>
        <w:t>G.</w:t>
      </w:r>
      <w:r w:rsidR="0004442E">
        <w:rPr>
          <w:rFonts w:ascii="Palatino Linotype" w:hAnsi="Palatino Linotype"/>
        </w:rPr>
        <w:t>1</w:t>
      </w:r>
      <w:r w:rsidR="00053BA0">
        <w:rPr>
          <w:rFonts w:ascii="Palatino Linotype" w:hAnsi="Palatino Linotype"/>
        </w:rPr>
        <w:t xml:space="preserve">. </w:t>
      </w:r>
    </w:p>
    <w:p w14:paraId="16CFDAB5" w14:textId="77777777" w:rsidR="00FA1682" w:rsidRDefault="00FA1682">
      <w:pPr>
        <w:rPr>
          <w:rFonts w:ascii="Palatino Linotype" w:hAnsi="Palatino Linotype"/>
          <w:b/>
          <w:bCs/>
        </w:rPr>
      </w:pPr>
      <w:r>
        <w:rPr>
          <w:rFonts w:ascii="Palatino Linotype" w:hAnsi="Palatino Linotype"/>
          <w:b/>
          <w:bCs/>
        </w:rPr>
        <w:br w:type="page"/>
      </w:r>
    </w:p>
    <w:p w14:paraId="07537ED2" w14:textId="4D00126E" w:rsidR="00E74AFD" w:rsidRDefault="00E74AFD" w:rsidP="00B05A8E">
      <w:pPr>
        <w:rPr>
          <w:rFonts w:ascii="Palatino Linotype" w:hAnsi="Palatino Linotype"/>
          <w:b/>
          <w:bCs/>
        </w:rPr>
      </w:pPr>
      <w:r w:rsidRPr="00E74AFD">
        <w:rPr>
          <w:rFonts w:ascii="Palatino Linotype" w:hAnsi="Palatino Linotype"/>
          <w:b/>
          <w:bCs/>
        </w:rPr>
        <w:lastRenderedPageBreak/>
        <w:t xml:space="preserve">Figure </w:t>
      </w:r>
      <w:r w:rsidR="007D29D6">
        <w:rPr>
          <w:rFonts w:ascii="Palatino Linotype" w:hAnsi="Palatino Linotype"/>
          <w:b/>
          <w:bCs/>
        </w:rPr>
        <w:t>G</w:t>
      </w:r>
      <w:r w:rsidR="00A242BD">
        <w:rPr>
          <w:rFonts w:ascii="Palatino Linotype" w:hAnsi="Palatino Linotype"/>
          <w:b/>
          <w:bCs/>
        </w:rPr>
        <w:t>.</w:t>
      </w:r>
      <w:r w:rsidR="00135877">
        <w:rPr>
          <w:rFonts w:ascii="Palatino Linotype" w:hAnsi="Palatino Linotype"/>
          <w:b/>
          <w:bCs/>
        </w:rPr>
        <w:t>1</w:t>
      </w:r>
    </w:p>
    <w:p w14:paraId="2F7312B1" w14:textId="365578B4" w:rsidR="00DB2998" w:rsidRPr="00C576A3" w:rsidRDefault="00DB2998" w:rsidP="00DB2998">
      <w:pPr>
        <w:spacing w:after="240" w:line="360" w:lineRule="auto"/>
        <w:rPr>
          <w:rFonts w:ascii="Palatino Linotype" w:hAnsi="Palatino Linotype"/>
          <w:b/>
          <w:bCs/>
        </w:rPr>
      </w:pPr>
      <w:r w:rsidRPr="00C576A3">
        <w:rPr>
          <w:rFonts w:ascii="Palatino Linotype" w:hAnsi="Palatino Linotype"/>
          <w:i/>
          <w:iCs/>
        </w:rPr>
        <w:t xml:space="preserve">Weighted undirected network structure of </w:t>
      </w:r>
      <w:r>
        <w:rPr>
          <w:rFonts w:ascii="Palatino Linotype" w:hAnsi="Palatino Linotype"/>
          <w:i/>
          <w:iCs/>
        </w:rPr>
        <w:t>19 (Oral Comprehension excluded)</w:t>
      </w:r>
      <w:r w:rsidRPr="00C576A3">
        <w:rPr>
          <w:rFonts w:ascii="Palatino Linotype" w:hAnsi="Palatino Linotype"/>
          <w:i/>
          <w:iCs/>
        </w:rPr>
        <w:t xml:space="preserve"> select WJ IV measures of seven broad CHC ability domains in primary network model</w:t>
      </w:r>
    </w:p>
    <w:p w14:paraId="00AE7B4F" w14:textId="7919B075" w:rsidR="00E74AFD" w:rsidRDefault="00017457" w:rsidP="00B42AD4">
      <w:pPr>
        <w:jc w:val="center"/>
        <w:rPr>
          <w:rFonts w:ascii="Palatino Linotype" w:hAnsi="Palatino Linotype"/>
          <w:b/>
          <w:bCs/>
        </w:rPr>
      </w:pPr>
      <w:r w:rsidRPr="00017457">
        <w:rPr>
          <w:rFonts w:ascii="Palatino Linotype" w:hAnsi="Palatino Linotype"/>
          <w:b/>
          <w:bCs/>
          <w:noProof/>
        </w:rPr>
        <w:drawing>
          <wp:inline distT="0" distB="0" distL="0" distR="0" wp14:anchorId="69937D33" wp14:editId="449D6BE9">
            <wp:extent cx="4952246" cy="4734203"/>
            <wp:effectExtent l="0" t="0" r="127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12"/>
                    <a:stretch>
                      <a:fillRect/>
                    </a:stretch>
                  </pic:blipFill>
                  <pic:spPr>
                    <a:xfrm>
                      <a:off x="0" y="0"/>
                      <a:ext cx="4957798" cy="4739510"/>
                    </a:xfrm>
                    <a:prstGeom prst="rect">
                      <a:avLst/>
                    </a:prstGeom>
                  </pic:spPr>
                </pic:pic>
              </a:graphicData>
            </a:graphic>
          </wp:inline>
        </w:drawing>
      </w:r>
      <w:r w:rsidR="00E74AFD">
        <w:rPr>
          <w:rFonts w:ascii="Palatino Linotype" w:hAnsi="Palatino Linotype"/>
          <w:b/>
          <w:bCs/>
        </w:rPr>
        <w:br w:type="page"/>
      </w:r>
    </w:p>
    <w:p w14:paraId="5B17D7CE" w14:textId="3DFF8AB1" w:rsidR="00B05A8E" w:rsidRDefault="00B05A8E" w:rsidP="007E70F6">
      <w:pPr>
        <w:tabs>
          <w:tab w:val="left" w:pos="2410"/>
        </w:tabs>
        <w:rPr>
          <w:rFonts w:ascii="Palatino Linotype" w:hAnsi="Palatino Linotype"/>
          <w:b/>
          <w:bCs/>
        </w:rPr>
      </w:pPr>
    </w:p>
    <w:p w14:paraId="776B5149" w14:textId="57ED761F" w:rsidR="00E74AFD" w:rsidRDefault="00E74AFD" w:rsidP="007E70F6">
      <w:pPr>
        <w:tabs>
          <w:tab w:val="left" w:pos="4190"/>
        </w:tabs>
        <w:ind w:right="-450"/>
        <w:rPr>
          <w:rFonts w:ascii="Palatino Linotype" w:hAnsi="Palatino Linotype"/>
          <w:b/>
          <w:bCs/>
        </w:rPr>
      </w:pPr>
      <w:r>
        <w:rPr>
          <w:rFonts w:ascii="Palatino Linotype" w:hAnsi="Palatino Linotype"/>
          <w:b/>
          <w:bCs/>
        </w:rPr>
        <w:t xml:space="preserve">Table </w:t>
      </w:r>
      <w:r w:rsidR="007D29D6">
        <w:rPr>
          <w:rFonts w:ascii="Palatino Linotype" w:hAnsi="Palatino Linotype"/>
          <w:b/>
          <w:bCs/>
        </w:rPr>
        <w:t>G</w:t>
      </w:r>
      <w:r>
        <w:rPr>
          <w:rFonts w:ascii="Palatino Linotype" w:hAnsi="Palatino Linotype"/>
          <w:b/>
          <w:bCs/>
        </w:rPr>
        <w:t>.1</w:t>
      </w:r>
      <w:r w:rsidR="007E70F6">
        <w:rPr>
          <w:rFonts w:ascii="Palatino Linotype" w:hAnsi="Palatino Linotype"/>
          <w:b/>
          <w:bCs/>
        </w:rPr>
        <w:tab/>
      </w:r>
    </w:p>
    <w:p w14:paraId="4D5DB87A" w14:textId="292D5E89" w:rsidR="008F0600" w:rsidRDefault="008F0600" w:rsidP="008F0600">
      <w:pPr>
        <w:spacing w:after="240" w:line="360" w:lineRule="auto"/>
        <w:rPr>
          <w:rFonts w:ascii="Palatino Linotype" w:hAnsi="Palatino Linotype"/>
          <w:i/>
          <w:iCs/>
        </w:rPr>
      </w:pPr>
      <w:r>
        <w:rPr>
          <w:rFonts w:ascii="Palatino Linotype" w:hAnsi="Palatino Linotype"/>
          <w:i/>
          <w:iCs/>
        </w:rPr>
        <w:t>19</w:t>
      </w:r>
      <w:r w:rsidRPr="00DA7289">
        <w:rPr>
          <w:rFonts w:ascii="Palatino Linotype" w:hAnsi="Palatino Linotype"/>
          <w:i/>
          <w:iCs/>
        </w:rPr>
        <w:t xml:space="preserve">-measure </w:t>
      </w:r>
      <w:r>
        <w:rPr>
          <w:rFonts w:ascii="Palatino Linotype" w:hAnsi="Palatino Linotype"/>
          <w:i/>
          <w:iCs/>
        </w:rPr>
        <w:t xml:space="preserve">(Oral Comprehension excluded) </w:t>
      </w:r>
      <w:r w:rsidRPr="00DA7289">
        <w:rPr>
          <w:rFonts w:ascii="Palatino Linotype" w:hAnsi="Palatino Linotype"/>
          <w:i/>
          <w:iCs/>
        </w:rPr>
        <w:t xml:space="preserve">primary sensitivity network </w:t>
      </w:r>
      <w:r w:rsidR="007604B8">
        <w:rPr>
          <w:rFonts w:ascii="Palatino Linotype" w:hAnsi="Palatino Linotype"/>
          <w:i/>
          <w:iCs/>
        </w:rPr>
        <w:t xml:space="preserve">model </w:t>
      </w:r>
      <w:r w:rsidRPr="00DA7289">
        <w:rPr>
          <w:rFonts w:ascii="Palatino Linotype" w:hAnsi="Palatino Linotype"/>
          <w:i/>
          <w:iCs/>
        </w:rPr>
        <w:t xml:space="preserve">centrality measure metrics </w:t>
      </w:r>
    </w:p>
    <w:tbl>
      <w:tblPr>
        <w:tblW w:w="8893" w:type="dxa"/>
        <w:tblLook w:val="04A0" w:firstRow="1" w:lastRow="0" w:firstColumn="1" w:lastColumn="0" w:noHBand="0" w:noVBand="1"/>
      </w:tblPr>
      <w:tblGrid>
        <w:gridCol w:w="2840"/>
        <w:gridCol w:w="220"/>
        <w:gridCol w:w="1205"/>
        <w:gridCol w:w="1366"/>
        <w:gridCol w:w="1240"/>
        <w:gridCol w:w="1088"/>
        <w:gridCol w:w="971"/>
      </w:tblGrid>
      <w:tr w:rsidR="006A1BFA" w:rsidRPr="006A1BFA" w14:paraId="3825A1C7" w14:textId="77777777" w:rsidTr="00975068">
        <w:trPr>
          <w:trHeight w:val="300"/>
        </w:trPr>
        <w:tc>
          <w:tcPr>
            <w:tcW w:w="2840" w:type="dxa"/>
            <w:tcBorders>
              <w:top w:val="single" w:sz="4" w:space="0" w:color="auto"/>
              <w:left w:val="nil"/>
              <w:bottom w:val="nil"/>
              <w:right w:val="nil"/>
            </w:tcBorders>
            <w:shd w:val="clear" w:color="auto" w:fill="auto"/>
            <w:noWrap/>
            <w:vAlign w:val="bottom"/>
            <w:hideMark/>
          </w:tcPr>
          <w:p w14:paraId="6FF9CC32"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 </w:t>
            </w:r>
          </w:p>
        </w:tc>
        <w:tc>
          <w:tcPr>
            <w:tcW w:w="1388" w:type="dxa"/>
            <w:gridSpan w:val="2"/>
            <w:tcBorders>
              <w:top w:val="single" w:sz="4" w:space="0" w:color="auto"/>
              <w:left w:val="nil"/>
              <w:bottom w:val="nil"/>
              <w:right w:val="nil"/>
            </w:tcBorders>
            <w:shd w:val="clear" w:color="auto" w:fill="auto"/>
            <w:noWrap/>
            <w:vAlign w:val="bottom"/>
            <w:hideMark/>
          </w:tcPr>
          <w:p w14:paraId="5D1B96B2"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 </w:t>
            </w:r>
          </w:p>
        </w:tc>
        <w:tc>
          <w:tcPr>
            <w:tcW w:w="4665" w:type="dxa"/>
            <w:gridSpan w:val="4"/>
            <w:tcBorders>
              <w:top w:val="single" w:sz="4" w:space="0" w:color="auto"/>
              <w:left w:val="nil"/>
              <w:bottom w:val="nil"/>
              <w:right w:val="nil"/>
            </w:tcBorders>
            <w:shd w:val="clear" w:color="auto" w:fill="auto"/>
            <w:noWrap/>
            <w:vAlign w:val="bottom"/>
            <w:hideMark/>
          </w:tcPr>
          <w:p w14:paraId="06710050"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Network relative centrality characteristic metrics</w:t>
            </w:r>
          </w:p>
        </w:tc>
      </w:tr>
      <w:tr w:rsidR="006A1BFA" w:rsidRPr="006A1BFA" w14:paraId="57004031" w14:textId="77777777" w:rsidTr="00975068">
        <w:trPr>
          <w:trHeight w:val="300"/>
        </w:trPr>
        <w:tc>
          <w:tcPr>
            <w:tcW w:w="2840" w:type="dxa"/>
            <w:tcBorders>
              <w:top w:val="nil"/>
              <w:left w:val="nil"/>
              <w:bottom w:val="single" w:sz="4" w:space="0" w:color="auto"/>
              <w:right w:val="nil"/>
            </w:tcBorders>
            <w:shd w:val="clear" w:color="auto" w:fill="auto"/>
            <w:noWrap/>
            <w:vAlign w:val="bottom"/>
            <w:hideMark/>
          </w:tcPr>
          <w:p w14:paraId="16BC2949"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 </w:t>
            </w:r>
          </w:p>
        </w:tc>
        <w:tc>
          <w:tcPr>
            <w:tcW w:w="1388" w:type="dxa"/>
            <w:gridSpan w:val="2"/>
            <w:tcBorders>
              <w:top w:val="nil"/>
              <w:left w:val="nil"/>
              <w:bottom w:val="single" w:sz="4" w:space="0" w:color="auto"/>
              <w:right w:val="nil"/>
            </w:tcBorders>
            <w:shd w:val="clear" w:color="auto" w:fill="auto"/>
            <w:noWrap/>
            <w:vAlign w:val="bottom"/>
            <w:hideMark/>
          </w:tcPr>
          <w:p w14:paraId="4B888EC4"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 </w:t>
            </w:r>
          </w:p>
        </w:tc>
        <w:tc>
          <w:tcPr>
            <w:tcW w:w="1366" w:type="dxa"/>
            <w:tcBorders>
              <w:top w:val="nil"/>
              <w:left w:val="nil"/>
              <w:bottom w:val="single" w:sz="4" w:space="0" w:color="auto"/>
              <w:right w:val="nil"/>
            </w:tcBorders>
            <w:shd w:val="clear" w:color="auto" w:fill="auto"/>
            <w:noWrap/>
            <w:vAlign w:val="bottom"/>
            <w:hideMark/>
          </w:tcPr>
          <w:p w14:paraId="50D9C65A"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 </w:t>
            </w:r>
          </w:p>
        </w:tc>
        <w:tc>
          <w:tcPr>
            <w:tcW w:w="3299" w:type="dxa"/>
            <w:gridSpan w:val="3"/>
            <w:tcBorders>
              <w:top w:val="nil"/>
              <w:left w:val="nil"/>
              <w:bottom w:val="single" w:sz="4" w:space="0" w:color="auto"/>
              <w:right w:val="nil"/>
            </w:tcBorders>
            <w:shd w:val="clear" w:color="auto" w:fill="auto"/>
            <w:noWrap/>
            <w:vAlign w:val="bottom"/>
            <w:hideMark/>
          </w:tcPr>
          <w:p w14:paraId="4D9B39AB"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20 Variable Primary Model</w:t>
            </w:r>
          </w:p>
        </w:tc>
      </w:tr>
      <w:tr w:rsidR="006A1BFA" w:rsidRPr="006A1BFA" w14:paraId="5C874DF9" w14:textId="77777777" w:rsidTr="00975068">
        <w:trPr>
          <w:trHeight w:val="600"/>
        </w:trPr>
        <w:tc>
          <w:tcPr>
            <w:tcW w:w="2840" w:type="dxa"/>
            <w:tcBorders>
              <w:top w:val="nil"/>
              <w:left w:val="nil"/>
              <w:bottom w:val="single" w:sz="4" w:space="0" w:color="auto"/>
              <w:right w:val="nil"/>
            </w:tcBorders>
            <w:shd w:val="clear" w:color="auto" w:fill="auto"/>
            <w:noWrap/>
            <w:vAlign w:val="bottom"/>
            <w:hideMark/>
          </w:tcPr>
          <w:p w14:paraId="3FAB874B"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WJ IV Measure</w:t>
            </w:r>
          </w:p>
        </w:tc>
        <w:tc>
          <w:tcPr>
            <w:tcW w:w="1388" w:type="dxa"/>
            <w:gridSpan w:val="2"/>
            <w:tcBorders>
              <w:top w:val="nil"/>
              <w:left w:val="nil"/>
              <w:bottom w:val="single" w:sz="4" w:space="0" w:color="auto"/>
              <w:right w:val="nil"/>
            </w:tcBorders>
            <w:shd w:val="clear" w:color="auto" w:fill="auto"/>
            <w:noWrap/>
            <w:vAlign w:val="bottom"/>
            <w:hideMark/>
          </w:tcPr>
          <w:p w14:paraId="32722CE0"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Abbreviation</w:t>
            </w:r>
          </w:p>
        </w:tc>
        <w:tc>
          <w:tcPr>
            <w:tcW w:w="1366" w:type="dxa"/>
            <w:tcBorders>
              <w:top w:val="nil"/>
              <w:left w:val="nil"/>
              <w:bottom w:val="single" w:sz="4" w:space="0" w:color="auto"/>
              <w:right w:val="nil"/>
            </w:tcBorders>
            <w:shd w:val="clear" w:color="auto" w:fill="auto"/>
            <w:vAlign w:val="bottom"/>
            <w:hideMark/>
          </w:tcPr>
          <w:p w14:paraId="6130650A" w14:textId="0EDC279D"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CHC</w:t>
            </w:r>
            <w:r>
              <w:rPr>
                <w:rFonts w:ascii="Palatino Linotype" w:eastAsia="Times New Roman" w:hAnsi="Palatino Linotype" w:cs="Calibri"/>
                <w:color w:val="000000"/>
                <w:sz w:val="20"/>
                <w:szCs w:val="20"/>
              </w:rPr>
              <w:t xml:space="preserve"> </w:t>
            </w:r>
            <w:r w:rsidRPr="006A1BFA">
              <w:rPr>
                <w:rFonts w:ascii="Palatino Linotype" w:eastAsia="Times New Roman" w:hAnsi="Palatino Linotype" w:cs="Calibri"/>
                <w:color w:val="000000"/>
                <w:sz w:val="20"/>
                <w:szCs w:val="20"/>
              </w:rPr>
              <w:t>domain</w:t>
            </w:r>
          </w:p>
        </w:tc>
        <w:tc>
          <w:tcPr>
            <w:tcW w:w="1240" w:type="dxa"/>
            <w:tcBorders>
              <w:top w:val="nil"/>
              <w:left w:val="nil"/>
              <w:bottom w:val="single" w:sz="4" w:space="0" w:color="auto"/>
              <w:right w:val="nil"/>
            </w:tcBorders>
            <w:shd w:val="clear" w:color="auto" w:fill="auto"/>
            <w:noWrap/>
            <w:vAlign w:val="bottom"/>
            <w:hideMark/>
          </w:tcPr>
          <w:p w14:paraId="18A11E68"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proofErr w:type="spellStart"/>
            <w:r w:rsidRPr="006A1BFA">
              <w:rPr>
                <w:rFonts w:ascii="Palatino Linotype" w:eastAsia="Times New Roman" w:hAnsi="Palatino Linotype" w:cs="Calibri"/>
                <w:color w:val="000000"/>
                <w:sz w:val="20"/>
                <w:szCs w:val="20"/>
              </w:rPr>
              <w:t>Betweeness</w:t>
            </w:r>
            <w:proofErr w:type="spellEnd"/>
          </w:p>
        </w:tc>
        <w:tc>
          <w:tcPr>
            <w:tcW w:w="1088" w:type="dxa"/>
            <w:tcBorders>
              <w:top w:val="nil"/>
              <w:left w:val="nil"/>
              <w:bottom w:val="single" w:sz="4" w:space="0" w:color="auto"/>
              <w:right w:val="nil"/>
            </w:tcBorders>
            <w:shd w:val="clear" w:color="auto" w:fill="auto"/>
            <w:noWrap/>
            <w:vAlign w:val="bottom"/>
            <w:hideMark/>
          </w:tcPr>
          <w:p w14:paraId="7818333A"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Closeness</w:t>
            </w:r>
          </w:p>
        </w:tc>
        <w:tc>
          <w:tcPr>
            <w:tcW w:w="971" w:type="dxa"/>
            <w:tcBorders>
              <w:top w:val="nil"/>
              <w:left w:val="nil"/>
              <w:bottom w:val="single" w:sz="4" w:space="0" w:color="auto"/>
              <w:right w:val="nil"/>
            </w:tcBorders>
            <w:shd w:val="clear" w:color="auto" w:fill="auto"/>
            <w:noWrap/>
            <w:vAlign w:val="bottom"/>
            <w:hideMark/>
          </w:tcPr>
          <w:p w14:paraId="537221CB" w14:textId="77777777"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Strength</w:t>
            </w:r>
          </w:p>
        </w:tc>
      </w:tr>
      <w:tr w:rsidR="006A1BFA" w:rsidRPr="006A1BFA" w14:paraId="10E39A07"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4DC73282"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Analysis-Synthesis</w:t>
            </w:r>
          </w:p>
        </w:tc>
        <w:tc>
          <w:tcPr>
            <w:tcW w:w="1168" w:type="dxa"/>
            <w:tcBorders>
              <w:top w:val="nil"/>
              <w:left w:val="nil"/>
              <w:bottom w:val="nil"/>
              <w:right w:val="nil"/>
            </w:tcBorders>
            <w:shd w:val="clear" w:color="auto" w:fill="auto"/>
            <w:noWrap/>
            <w:vAlign w:val="bottom"/>
            <w:hideMark/>
          </w:tcPr>
          <w:p w14:paraId="6DE9720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ANLSYN</w:t>
            </w:r>
          </w:p>
        </w:tc>
        <w:tc>
          <w:tcPr>
            <w:tcW w:w="1366" w:type="dxa"/>
            <w:tcBorders>
              <w:top w:val="nil"/>
              <w:left w:val="nil"/>
              <w:bottom w:val="nil"/>
              <w:right w:val="nil"/>
            </w:tcBorders>
            <w:shd w:val="clear" w:color="auto" w:fill="auto"/>
            <w:noWrap/>
            <w:vAlign w:val="bottom"/>
            <w:hideMark/>
          </w:tcPr>
          <w:p w14:paraId="2FC8575A"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Gf</w:t>
            </w:r>
          </w:p>
        </w:tc>
        <w:tc>
          <w:tcPr>
            <w:tcW w:w="1240" w:type="dxa"/>
            <w:tcBorders>
              <w:top w:val="nil"/>
              <w:left w:val="nil"/>
              <w:bottom w:val="nil"/>
              <w:right w:val="nil"/>
            </w:tcBorders>
            <w:shd w:val="clear" w:color="auto" w:fill="auto"/>
            <w:noWrap/>
            <w:vAlign w:val="bottom"/>
            <w:hideMark/>
          </w:tcPr>
          <w:p w14:paraId="33CBE53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0.30</w:t>
            </w:r>
          </w:p>
        </w:tc>
        <w:tc>
          <w:tcPr>
            <w:tcW w:w="1088" w:type="dxa"/>
            <w:tcBorders>
              <w:top w:val="nil"/>
              <w:left w:val="nil"/>
              <w:bottom w:val="nil"/>
              <w:right w:val="nil"/>
            </w:tcBorders>
            <w:shd w:val="clear" w:color="auto" w:fill="auto"/>
            <w:noWrap/>
            <w:vAlign w:val="bottom"/>
            <w:hideMark/>
          </w:tcPr>
          <w:p w14:paraId="30267BA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0.86</w:t>
            </w:r>
          </w:p>
        </w:tc>
        <w:tc>
          <w:tcPr>
            <w:tcW w:w="971" w:type="dxa"/>
            <w:tcBorders>
              <w:top w:val="nil"/>
              <w:left w:val="nil"/>
              <w:bottom w:val="nil"/>
              <w:right w:val="nil"/>
            </w:tcBorders>
            <w:shd w:val="clear" w:color="auto" w:fill="auto"/>
            <w:noWrap/>
            <w:vAlign w:val="bottom"/>
            <w:hideMark/>
          </w:tcPr>
          <w:p w14:paraId="4F62805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0.82</w:t>
            </w:r>
          </w:p>
        </w:tc>
      </w:tr>
      <w:tr w:rsidR="006A1BFA" w:rsidRPr="006A1BFA" w14:paraId="6D016205"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0698A609"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Concept Formation</w:t>
            </w:r>
          </w:p>
        </w:tc>
        <w:tc>
          <w:tcPr>
            <w:tcW w:w="1168" w:type="dxa"/>
            <w:tcBorders>
              <w:top w:val="nil"/>
              <w:left w:val="nil"/>
              <w:bottom w:val="nil"/>
              <w:right w:val="nil"/>
            </w:tcBorders>
            <w:shd w:val="clear" w:color="auto" w:fill="auto"/>
            <w:noWrap/>
            <w:vAlign w:val="bottom"/>
            <w:hideMark/>
          </w:tcPr>
          <w:p w14:paraId="2926502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CONFRM</w:t>
            </w:r>
          </w:p>
        </w:tc>
        <w:tc>
          <w:tcPr>
            <w:tcW w:w="1366" w:type="dxa"/>
            <w:tcBorders>
              <w:top w:val="nil"/>
              <w:left w:val="nil"/>
              <w:bottom w:val="nil"/>
              <w:right w:val="nil"/>
            </w:tcBorders>
            <w:shd w:val="clear" w:color="auto" w:fill="auto"/>
            <w:noWrap/>
            <w:vAlign w:val="bottom"/>
            <w:hideMark/>
          </w:tcPr>
          <w:p w14:paraId="3DDED54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Gf</w:t>
            </w:r>
          </w:p>
        </w:tc>
        <w:tc>
          <w:tcPr>
            <w:tcW w:w="1240" w:type="dxa"/>
            <w:tcBorders>
              <w:top w:val="nil"/>
              <w:left w:val="nil"/>
              <w:bottom w:val="nil"/>
              <w:right w:val="nil"/>
            </w:tcBorders>
            <w:shd w:val="clear" w:color="auto" w:fill="auto"/>
            <w:noWrap/>
            <w:vAlign w:val="bottom"/>
            <w:hideMark/>
          </w:tcPr>
          <w:p w14:paraId="28A97D42"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0.17</w:t>
            </w:r>
          </w:p>
        </w:tc>
        <w:tc>
          <w:tcPr>
            <w:tcW w:w="1088" w:type="dxa"/>
            <w:tcBorders>
              <w:top w:val="nil"/>
              <w:left w:val="nil"/>
              <w:bottom w:val="nil"/>
              <w:right w:val="nil"/>
            </w:tcBorders>
            <w:shd w:val="clear" w:color="auto" w:fill="auto"/>
            <w:noWrap/>
            <w:vAlign w:val="bottom"/>
            <w:hideMark/>
          </w:tcPr>
          <w:p w14:paraId="09370CB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0.82</w:t>
            </w:r>
          </w:p>
        </w:tc>
        <w:tc>
          <w:tcPr>
            <w:tcW w:w="971" w:type="dxa"/>
            <w:tcBorders>
              <w:top w:val="nil"/>
              <w:left w:val="nil"/>
              <w:bottom w:val="nil"/>
              <w:right w:val="nil"/>
            </w:tcBorders>
            <w:shd w:val="clear" w:color="auto" w:fill="auto"/>
            <w:noWrap/>
            <w:vAlign w:val="bottom"/>
            <w:hideMark/>
          </w:tcPr>
          <w:p w14:paraId="1FF09E9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0.68</w:t>
            </w:r>
          </w:p>
        </w:tc>
      </w:tr>
      <w:tr w:rsidR="006A1BFA" w:rsidRPr="006A1BFA" w14:paraId="6D4FD52C"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691A3F1E"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p>
        </w:tc>
        <w:tc>
          <w:tcPr>
            <w:tcW w:w="1168" w:type="dxa"/>
            <w:tcBorders>
              <w:top w:val="nil"/>
              <w:left w:val="nil"/>
              <w:bottom w:val="nil"/>
              <w:right w:val="nil"/>
            </w:tcBorders>
            <w:shd w:val="clear" w:color="auto" w:fill="auto"/>
            <w:noWrap/>
            <w:vAlign w:val="bottom"/>
            <w:hideMark/>
          </w:tcPr>
          <w:p w14:paraId="2EF451EB" w14:textId="77777777" w:rsidR="006A1BFA" w:rsidRPr="006A1BFA" w:rsidRDefault="006A1BFA" w:rsidP="006A1BFA">
            <w:pPr>
              <w:spacing w:after="0" w:line="240" w:lineRule="auto"/>
              <w:ind w:firstLineChars="100" w:firstLine="200"/>
              <w:rPr>
                <w:rFonts w:ascii="Times New Roman" w:eastAsia="Times New Roman" w:hAnsi="Times New Roman" w:cs="Times New Roman"/>
                <w:sz w:val="20"/>
                <w:szCs w:val="20"/>
              </w:rPr>
            </w:pPr>
          </w:p>
        </w:tc>
        <w:tc>
          <w:tcPr>
            <w:tcW w:w="1366" w:type="dxa"/>
            <w:tcBorders>
              <w:top w:val="nil"/>
              <w:left w:val="nil"/>
              <w:bottom w:val="nil"/>
              <w:right w:val="nil"/>
            </w:tcBorders>
            <w:shd w:val="clear" w:color="auto" w:fill="auto"/>
            <w:noWrap/>
            <w:vAlign w:val="bottom"/>
            <w:hideMark/>
          </w:tcPr>
          <w:p w14:paraId="6DF76D0D"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481F6CE8"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14:paraId="78A1CA62"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971" w:type="dxa"/>
            <w:tcBorders>
              <w:top w:val="nil"/>
              <w:left w:val="nil"/>
              <w:bottom w:val="nil"/>
              <w:right w:val="nil"/>
            </w:tcBorders>
            <w:shd w:val="clear" w:color="auto" w:fill="auto"/>
            <w:noWrap/>
            <w:vAlign w:val="bottom"/>
            <w:hideMark/>
          </w:tcPr>
          <w:p w14:paraId="71DE0417"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r>
      <w:tr w:rsidR="006A1BFA" w:rsidRPr="006A1BFA" w14:paraId="656A8509"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2AB1EBB4"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Verbal Analogies</w:t>
            </w:r>
          </w:p>
        </w:tc>
        <w:tc>
          <w:tcPr>
            <w:tcW w:w="1168" w:type="dxa"/>
            <w:tcBorders>
              <w:top w:val="nil"/>
              <w:left w:val="nil"/>
              <w:bottom w:val="nil"/>
              <w:right w:val="nil"/>
            </w:tcBorders>
            <w:shd w:val="clear" w:color="auto" w:fill="auto"/>
            <w:noWrap/>
            <w:vAlign w:val="bottom"/>
            <w:hideMark/>
          </w:tcPr>
          <w:p w14:paraId="06AC0F7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VRBANL</w:t>
            </w:r>
          </w:p>
        </w:tc>
        <w:tc>
          <w:tcPr>
            <w:tcW w:w="1366" w:type="dxa"/>
            <w:tcBorders>
              <w:top w:val="nil"/>
              <w:left w:val="nil"/>
              <w:bottom w:val="nil"/>
              <w:right w:val="nil"/>
            </w:tcBorders>
            <w:shd w:val="clear" w:color="auto" w:fill="auto"/>
            <w:noWrap/>
            <w:vAlign w:val="bottom"/>
            <w:hideMark/>
          </w:tcPr>
          <w:p w14:paraId="11DA0F1E"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Gc/Gf</w:t>
            </w:r>
          </w:p>
        </w:tc>
        <w:tc>
          <w:tcPr>
            <w:tcW w:w="1240" w:type="dxa"/>
            <w:tcBorders>
              <w:top w:val="nil"/>
              <w:left w:val="nil"/>
              <w:bottom w:val="nil"/>
              <w:right w:val="nil"/>
            </w:tcBorders>
            <w:shd w:val="clear" w:color="auto" w:fill="auto"/>
            <w:noWrap/>
            <w:vAlign w:val="bottom"/>
            <w:hideMark/>
          </w:tcPr>
          <w:p w14:paraId="75829EED"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1.00</w:t>
            </w:r>
          </w:p>
        </w:tc>
        <w:tc>
          <w:tcPr>
            <w:tcW w:w="1088" w:type="dxa"/>
            <w:tcBorders>
              <w:top w:val="nil"/>
              <w:left w:val="nil"/>
              <w:bottom w:val="nil"/>
              <w:right w:val="nil"/>
            </w:tcBorders>
            <w:shd w:val="clear" w:color="auto" w:fill="auto"/>
            <w:noWrap/>
            <w:vAlign w:val="bottom"/>
            <w:hideMark/>
          </w:tcPr>
          <w:p w14:paraId="2F17F0AC"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0.92</w:t>
            </w:r>
          </w:p>
        </w:tc>
        <w:tc>
          <w:tcPr>
            <w:tcW w:w="971" w:type="dxa"/>
            <w:tcBorders>
              <w:top w:val="nil"/>
              <w:left w:val="nil"/>
              <w:bottom w:val="nil"/>
              <w:right w:val="nil"/>
            </w:tcBorders>
            <w:shd w:val="clear" w:color="auto" w:fill="auto"/>
            <w:noWrap/>
            <w:vAlign w:val="bottom"/>
            <w:hideMark/>
          </w:tcPr>
          <w:p w14:paraId="4478B2A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0.88</w:t>
            </w:r>
          </w:p>
        </w:tc>
      </w:tr>
      <w:tr w:rsidR="006A1BFA" w:rsidRPr="006A1BFA" w14:paraId="37F358AF"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427E9857"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General Information</w:t>
            </w:r>
          </w:p>
        </w:tc>
        <w:tc>
          <w:tcPr>
            <w:tcW w:w="1168" w:type="dxa"/>
            <w:tcBorders>
              <w:top w:val="nil"/>
              <w:left w:val="nil"/>
              <w:bottom w:val="nil"/>
              <w:right w:val="nil"/>
            </w:tcBorders>
            <w:shd w:val="clear" w:color="auto" w:fill="auto"/>
            <w:noWrap/>
            <w:vAlign w:val="bottom"/>
            <w:hideMark/>
          </w:tcPr>
          <w:p w14:paraId="0DA714EE"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GENINF</w:t>
            </w:r>
          </w:p>
        </w:tc>
        <w:tc>
          <w:tcPr>
            <w:tcW w:w="1366" w:type="dxa"/>
            <w:tcBorders>
              <w:top w:val="nil"/>
              <w:left w:val="nil"/>
              <w:bottom w:val="nil"/>
              <w:right w:val="nil"/>
            </w:tcBorders>
            <w:shd w:val="clear" w:color="auto" w:fill="auto"/>
            <w:noWrap/>
            <w:vAlign w:val="bottom"/>
            <w:hideMark/>
          </w:tcPr>
          <w:p w14:paraId="5DDAA156"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Gc</w:t>
            </w:r>
          </w:p>
        </w:tc>
        <w:tc>
          <w:tcPr>
            <w:tcW w:w="1240" w:type="dxa"/>
            <w:tcBorders>
              <w:top w:val="nil"/>
              <w:left w:val="nil"/>
              <w:bottom w:val="nil"/>
              <w:right w:val="nil"/>
            </w:tcBorders>
            <w:shd w:val="clear" w:color="auto" w:fill="auto"/>
            <w:noWrap/>
            <w:vAlign w:val="bottom"/>
            <w:hideMark/>
          </w:tcPr>
          <w:p w14:paraId="276C46E5"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0.00</w:t>
            </w:r>
          </w:p>
        </w:tc>
        <w:tc>
          <w:tcPr>
            <w:tcW w:w="1088" w:type="dxa"/>
            <w:tcBorders>
              <w:top w:val="nil"/>
              <w:left w:val="nil"/>
              <w:bottom w:val="nil"/>
              <w:right w:val="nil"/>
            </w:tcBorders>
            <w:shd w:val="clear" w:color="auto" w:fill="auto"/>
            <w:noWrap/>
            <w:vAlign w:val="bottom"/>
            <w:hideMark/>
          </w:tcPr>
          <w:p w14:paraId="7FE8932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0.75</w:t>
            </w:r>
          </w:p>
        </w:tc>
        <w:tc>
          <w:tcPr>
            <w:tcW w:w="971" w:type="dxa"/>
            <w:tcBorders>
              <w:top w:val="nil"/>
              <w:left w:val="nil"/>
              <w:bottom w:val="nil"/>
              <w:right w:val="nil"/>
            </w:tcBorders>
            <w:shd w:val="clear" w:color="auto" w:fill="auto"/>
            <w:noWrap/>
            <w:vAlign w:val="bottom"/>
            <w:hideMark/>
          </w:tcPr>
          <w:p w14:paraId="186363A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0.62</w:t>
            </w:r>
          </w:p>
        </w:tc>
      </w:tr>
      <w:tr w:rsidR="006A1BFA" w:rsidRPr="006A1BFA" w14:paraId="305E7CEF"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0D9E08F2"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Oral Vocabulary</w:t>
            </w:r>
          </w:p>
        </w:tc>
        <w:tc>
          <w:tcPr>
            <w:tcW w:w="1168" w:type="dxa"/>
            <w:tcBorders>
              <w:top w:val="nil"/>
              <w:left w:val="nil"/>
              <w:bottom w:val="nil"/>
              <w:right w:val="nil"/>
            </w:tcBorders>
            <w:shd w:val="clear" w:color="auto" w:fill="auto"/>
            <w:noWrap/>
            <w:vAlign w:val="bottom"/>
            <w:hideMark/>
          </w:tcPr>
          <w:p w14:paraId="02C9D774"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ORLVOC</w:t>
            </w:r>
          </w:p>
        </w:tc>
        <w:tc>
          <w:tcPr>
            <w:tcW w:w="1366" w:type="dxa"/>
            <w:tcBorders>
              <w:top w:val="nil"/>
              <w:left w:val="nil"/>
              <w:bottom w:val="nil"/>
              <w:right w:val="nil"/>
            </w:tcBorders>
            <w:shd w:val="clear" w:color="auto" w:fill="auto"/>
            <w:noWrap/>
            <w:vAlign w:val="bottom"/>
            <w:hideMark/>
          </w:tcPr>
          <w:p w14:paraId="145B1EB6"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Gc</w:t>
            </w:r>
          </w:p>
        </w:tc>
        <w:tc>
          <w:tcPr>
            <w:tcW w:w="1240" w:type="dxa"/>
            <w:tcBorders>
              <w:top w:val="nil"/>
              <w:left w:val="nil"/>
              <w:bottom w:val="nil"/>
              <w:right w:val="nil"/>
            </w:tcBorders>
            <w:shd w:val="clear" w:color="auto" w:fill="auto"/>
            <w:noWrap/>
            <w:vAlign w:val="bottom"/>
            <w:hideMark/>
          </w:tcPr>
          <w:p w14:paraId="06B5EDFC"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0.74</w:t>
            </w:r>
          </w:p>
        </w:tc>
        <w:tc>
          <w:tcPr>
            <w:tcW w:w="1088" w:type="dxa"/>
            <w:tcBorders>
              <w:top w:val="nil"/>
              <w:left w:val="nil"/>
              <w:bottom w:val="nil"/>
              <w:right w:val="nil"/>
            </w:tcBorders>
            <w:shd w:val="clear" w:color="auto" w:fill="auto"/>
            <w:noWrap/>
            <w:vAlign w:val="bottom"/>
            <w:hideMark/>
          </w:tcPr>
          <w:p w14:paraId="0C779A11"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0.83</w:t>
            </w:r>
          </w:p>
        </w:tc>
        <w:tc>
          <w:tcPr>
            <w:tcW w:w="971" w:type="dxa"/>
            <w:tcBorders>
              <w:top w:val="nil"/>
              <w:left w:val="nil"/>
              <w:bottom w:val="nil"/>
              <w:right w:val="nil"/>
            </w:tcBorders>
            <w:shd w:val="clear" w:color="auto" w:fill="auto"/>
            <w:noWrap/>
            <w:vAlign w:val="bottom"/>
            <w:hideMark/>
          </w:tcPr>
          <w:p w14:paraId="635E3685"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0.88</w:t>
            </w:r>
          </w:p>
        </w:tc>
      </w:tr>
      <w:tr w:rsidR="006A1BFA" w:rsidRPr="006A1BFA" w14:paraId="11D23F50"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33EBB6E4"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p>
        </w:tc>
        <w:tc>
          <w:tcPr>
            <w:tcW w:w="1168" w:type="dxa"/>
            <w:tcBorders>
              <w:top w:val="nil"/>
              <w:left w:val="nil"/>
              <w:bottom w:val="nil"/>
              <w:right w:val="nil"/>
            </w:tcBorders>
            <w:shd w:val="clear" w:color="auto" w:fill="auto"/>
            <w:noWrap/>
            <w:vAlign w:val="bottom"/>
            <w:hideMark/>
          </w:tcPr>
          <w:p w14:paraId="74D4090A" w14:textId="77777777" w:rsidR="006A1BFA" w:rsidRPr="006A1BFA" w:rsidRDefault="006A1BFA" w:rsidP="006A1BFA">
            <w:pPr>
              <w:spacing w:after="0" w:line="240" w:lineRule="auto"/>
              <w:ind w:firstLineChars="100" w:firstLine="200"/>
              <w:rPr>
                <w:rFonts w:ascii="Times New Roman" w:eastAsia="Times New Roman" w:hAnsi="Times New Roman" w:cs="Times New Roman"/>
                <w:sz w:val="20"/>
                <w:szCs w:val="20"/>
              </w:rPr>
            </w:pPr>
          </w:p>
        </w:tc>
        <w:tc>
          <w:tcPr>
            <w:tcW w:w="1366" w:type="dxa"/>
            <w:tcBorders>
              <w:top w:val="nil"/>
              <w:left w:val="nil"/>
              <w:bottom w:val="nil"/>
              <w:right w:val="nil"/>
            </w:tcBorders>
            <w:shd w:val="clear" w:color="auto" w:fill="auto"/>
            <w:noWrap/>
            <w:vAlign w:val="bottom"/>
            <w:hideMark/>
          </w:tcPr>
          <w:p w14:paraId="056BB807"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107F8D88"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14:paraId="08655B99"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971" w:type="dxa"/>
            <w:tcBorders>
              <w:top w:val="nil"/>
              <w:left w:val="nil"/>
              <w:bottom w:val="nil"/>
              <w:right w:val="nil"/>
            </w:tcBorders>
            <w:shd w:val="clear" w:color="auto" w:fill="auto"/>
            <w:noWrap/>
            <w:vAlign w:val="bottom"/>
            <w:hideMark/>
          </w:tcPr>
          <w:p w14:paraId="3377B11C"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r>
      <w:tr w:rsidR="006A1BFA" w:rsidRPr="006A1BFA" w14:paraId="2428B708"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49D3A61F"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Block Rotation</w:t>
            </w:r>
          </w:p>
        </w:tc>
        <w:tc>
          <w:tcPr>
            <w:tcW w:w="1168" w:type="dxa"/>
            <w:tcBorders>
              <w:top w:val="nil"/>
              <w:left w:val="nil"/>
              <w:bottom w:val="nil"/>
              <w:right w:val="nil"/>
            </w:tcBorders>
            <w:shd w:val="clear" w:color="auto" w:fill="auto"/>
            <w:noWrap/>
            <w:vAlign w:val="bottom"/>
            <w:hideMark/>
          </w:tcPr>
          <w:p w14:paraId="5798C6B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VZBLKR</w:t>
            </w:r>
          </w:p>
        </w:tc>
        <w:tc>
          <w:tcPr>
            <w:tcW w:w="1366" w:type="dxa"/>
            <w:tcBorders>
              <w:top w:val="nil"/>
              <w:left w:val="nil"/>
              <w:bottom w:val="nil"/>
              <w:right w:val="nil"/>
            </w:tcBorders>
            <w:shd w:val="clear" w:color="auto" w:fill="auto"/>
            <w:noWrap/>
            <w:vAlign w:val="bottom"/>
            <w:hideMark/>
          </w:tcPr>
          <w:p w14:paraId="1B0CDB1D"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Gv</w:t>
            </w:r>
          </w:p>
        </w:tc>
        <w:tc>
          <w:tcPr>
            <w:tcW w:w="1240" w:type="dxa"/>
            <w:tcBorders>
              <w:top w:val="nil"/>
              <w:left w:val="nil"/>
              <w:bottom w:val="nil"/>
              <w:right w:val="nil"/>
            </w:tcBorders>
            <w:shd w:val="clear" w:color="auto" w:fill="auto"/>
            <w:noWrap/>
            <w:vAlign w:val="bottom"/>
            <w:hideMark/>
          </w:tcPr>
          <w:p w14:paraId="573E9F95"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0.30</w:t>
            </w:r>
          </w:p>
        </w:tc>
        <w:tc>
          <w:tcPr>
            <w:tcW w:w="1088" w:type="dxa"/>
            <w:tcBorders>
              <w:top w:val="nil"/>
              <w:left w:val="nil"/>
              <w:bottom w:val="nil"/>
              <w:right w:val="nil"/>
            </w:tcBorders>
            <w:shd w:val="clear" w:color="auto" w:fill="auto"/>
            <w:noWrap/>
            <w:vAlign w:val="bottom"/>
            <w:hideMark/>
          </w:tcPr>
          <w:p w14:paraId="187CEBE0"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0.81</w:t>
            </w:r>
          </w:p>
        </w:tc>
        <w:tc>
          <w:tcPr>
            <w:tcW w:w="971" w:type="dxa"/>
            <w:tcBorders>
              <w:top w:val="nil"/>
              <w:left w:val="nil"/>
              <w:bottom w:val="nil"/>
              <w:right w:val="nil"/>
            </w:tcBorders>
            <w:shd w:val="clear" w:color="auto" w:fill="auto"/>
            <w:noWrap/>
            <w:vAlign w:val="bottom"/>
            <w:hideMark/>
          </w:tcPr>
          <w:p w14:paraId="0B71B490"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0.83</w:t>
            </w:r>
          </w:p>
        </w:tc>
      </w:tr>
      <w:tr w:rsidR="006A1BFA" w:rsidRPr="006A1BFA" w14:paraId="1F118DD9"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490262A8"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Spatial Relations</w:t>
            </w:r>
          </w:p>
        </w:tc>
        <w:tc>
          <w:tcPr>
            <w:tcW w:w="1168" w:type="dxa"/>
            <w:tcBorders>
              <w:top w:val="nil"/>
              <w:left w:val="nil"/>
              <w:bottom w:val="nil"/>
              <w:right w:val="nil"/>
            </w:tcBorders>
            <w:shd w:val="clear" w:color="auto" w:fill="auto"/>
            <w:noWrap/>
            <w:vAlign w:val="bottom"/>
            <w:hideMark/>
          </w:tcPr>
          <w:p w14:paraId="7B8F9C12"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VZSPRL</w:t>
            </w:r>
          </w:p>
        </w:tc>
        <w:tc>
          <w:tcPr>
            <w:tcW w:w="1366" w:type="dxa"/>
            <w:tcBorders>
              <w:top w:val="nil"/>
              <w:left w:val="nil"/>
              <w:bottom w:val="nil"/>
              <w:right w:val="nil"/>
            </w:tcBorders>
            <w:shd w:val="clear" w:color="auto" w:fill="auto"/>
            <w:noWrap/>
            <w:vAlign w:val="bottom"/>
            <w:hideMark/>
          </w:tcPr>
          <w:p w14:paraId="4F6364F6"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Gv</w:t>
            </w:r>
          </w:p>
        </w:tc>
        <w:tc>
          <w:tcPr>
            <w:tcW w:w="1240" w:type="dxa"/>
            <w:tcBorders>
              <w:top w:val="nil"/>
              <w:left w:val="nil"/>
              <w:bottom w:val="nil"/>
              <w:right w:val="nil"/>
            </w:tcBorders>
            <w:shd w:val="clear" w:color="auto" w:fill="auto"/>
            <w:noWrap/>
            <w:vAlign w:val="bottom"/>
            <w:hideMark/>
          </w:tcPr>
          <w:p w14:paraId="3325061D"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0.09</w:t>
            </w:r>
          </w:p>
        </w:tc>
        <w:tc>
          <w:tcPr>
            <w:tcW w:w="1088" w:type="dxa"/>
            <w:tcBorders>
              <w:top w:val="nil"/>
              <w:left w:val="nil"/>
              <w:bottom w:val="nil"/>
              <w:right w:val="nil"/>
            </w:tcBorders>
            <w:shd w:val="clear" w:color="auto" w:fill="auto"/>
            <w:noWrap/>
            <w:vAlign w:val="bottom"/>
            <w:hideMark/>
          </w:tcPr>
          <w:p w14:paraId="2E684AB9"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0.78</w:t>
            </w:r>
          </w:p>
        </w:tc>
        <w:tc>
          <w:tcPr>
            <w:tcW w:w="971" w:type="dxa"/>
            <w:tcBorders>
              <w:top w:val="nil"/>
              <w:left w:val="nil"/>
              <w:bottom w:val="nil"/>
              <w:right w:val="nil"/>
            </w:tcBorders>
            <w:shd w:val="clear" w:color="auto" w:fill="auto"/>
            <w:noWrap/>
            <w:vAlign w:val="bottom"/>
            <w:hideMark/>
          </w:tcPr>
          <w:p w14:paraId="720759E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0.68</w:t>
            </w:r>
          </w:p>
        </w:tc>
      </w:tr>
      <w:tr w:rsidR="006A1BFA" w:rsidRPr="006A1BFA" w14:paraId="2E8E3CE6"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7F7B92D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p>
        </w:tc>
        <w:tc>
          <w:tcPr>
            <w:tcW w:w="1168" w:type="dxa"/>
            <w:tcBorders>
              <w:top w:val="nil"/>
              <w:left w:val="nil"/>
              <w:bottom w:val="nil"/>
              <w:right w:val="nil"/>
            </w:tcBorders>
            <w:shd w:val="clear" w:color="auto" w:fill="auto"/>
            <w:noWrap/>
            <w:vAlign w:val="bottom"/>
            <w:hideMark/>
          </w:tcPr>
          <w:p w14:paraId="42BE7B6F" w14:textId="77777777" w:rsidR="006A1BFA" w:rsidRPr="006A1BFA" w:rsidRDefault="006A1BFA" w:rsidP="006A1BFA">
            <w:pPr>
              <w:spacing w:after="0" w:line="240" w:lineRule="auto"/>
              <w:ind w:firstLineChars="100" w:firstLine="200"/>
              <w:rPr>
                <w:rFonts w:ascii="Times New Roman" w:eastAsia="Times New Roman" w:hAnsi="Times New Roman" w:cs="Times New Roman"/>
                <w:sz w:val="20"/>
                <w:szCs w:val="20"/>
              </w:rPr>
            </w:pPr>
          </w:p>
        </w:tc>
        <w:tc>
          <w:tcPr>
            <w:tcW w:w="1366" w:type="dxa"/>
            <w:tcBorders>
              <w:top w:val="nil"/>
              <w:left w:val="nil"/>
              <w:bottom w:val="nil"/>
              <w:right w:val="nil"/>
            </w:tcBorders>
            <w:shd w:val="clear" w:color="auto" w:fill="auto"/>
            <w:noWrap/>
            <w:vAlign w:val="bottom"/>
            <w:hideMark/>
          </w:tcPr>
          <w:p w14:paraId="20922612"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21CB44BA"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14:paraId="0E18524A"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971" w:type="dxa"/>
            <w:tcBorders>
              <w:top w:val="nil"/>
              <w:left w:val="nil"/>
              <w:bottom w:val="nil"/>
              <w:right w:val="nil"/>
            </w:tcBorders>
            <w:shd w:val="clear" w:color="auto" w:fill="auto"/>
            <w:noWrap/>
            <w:vAlign w:val="bottom"/>
            <w:hideMark/>
          </w:tcPr>
          <w:p w14:paraId="561995A2"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r>
      <w:tr w:rsidR="006A1BFA" w:rsidRPr="006A1BFA" w14:paraId="01811D63"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21C2FD40"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Phon. Proc. - Word Access</w:t>
            </w:r>
          </w:p>
        </w:tc>
        <w:tc>
          <w:tcPr>
            <w:tcW w:w="1168" w:type="dxa"/>
            <w:tcBorders>
              <w:top w:val="nil"/>
              <w:left w:val="nil"/>
              <w:bottom w:val="nil"/>
              <w:right w:val="nil"/>
            </w:tcBorders>
            <w:shd w:val="clear" w:color="auto" w:fill="auto"/>
            <w:noWrap/>
            <w:vAlign w:val="bottom"/>
            <w:hideMark/>
          </w:tcPr>
          <w:p w14:paraId="507A54D8"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PPACC</w:t>
            </w:r>
          </w:p>
        </w:tc>
        <w:tc>
          <w:tcPr>
            <w:tcW w:w="1366" w:type="dxa"/>
            <w:tcBorders>
              <w:top w:val="nil"/>
              <w:left w:val="nil"/>
              <w:bottom w:val="nil"/>
              <w:right w:val="nil"/>
            </w:tcBorders>
            <w:shd w:val="clear" w:color="auto" w:fill="auto"/>
            <w:noWrap/>
            <w:vAlign w:val="bottom"/>
            <w:hideMark/>
          </w:tcPr>
          <w:p w14:paraId="0015BF16"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Ga</w:t>
            </w:r>
          </w:p>
        </w:tc>
        <w:tc>
          <w:tcPr>
            <w:tcW w:w="1240" w:type="dxa"/>
            <w:tcBorders>
              <w:top w:val="nil"/>
              <w:left w:val="nil"/>
              <w:bottom w:val="nil"/>
              <w:right w:val="nil"/>
            </w:tcBorders>
            <w:shd w:val="clear" w:color="auto" w:fill="auto"/>
            <w:noWrap/>
            <w:vAlign w:val="bottom"/>
            <w:hideMark/>
          </w:tcPr>
          <w:p w14:paraId="5D504F96"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0.22</w:t>
            </w:r>
          </w:p>
        </w:tc>
        <w:tc>
          <w:tcPr>
            <w:tcW w:w="1088" w:type="dxa"/>
            <w:tcBorders>
              <w:top w:val="nil"/>
              <w:left w:val="nil"/>
              <w:bottom w:val="nil"/>
              <w:right w:val="nil"/>
            </w:tcBorders>
            <w:shd w:val="clear" w:color="auto" w:fill="auto"/>
            <w:noWrap/>
            <w:vAlign w:val="bottom"/>
            <w:hideMark/>
          </w:tcPr>
          <w:p w14:paraId="6D0A07D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0.85</w:t>
            </w:r>
          </w:p>
        </w:tc>
        <w:tc>
          <w:tcPr>
            <w:tcW w:w="971" w:type="dxa"/>
            <w:tcBorders>
              <w:top w:val="nil"/>
              <w:left w:val="nil"/>
              <w:bottom w:val="nil"/>
              <w:right w:val="nil"/>
            </w:tcBorders>
            <w:shd w:val="clear" w:color="auto" w:fill="auto"/>
            <w:noWrap/>
            <w:vAlign w:val="bottom"/>
            <w:hideMark/>
          </w:tcPr>
          <w:p w14:paraId="34DC4649"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0.79</w:t>
            </w:r>
          </w:p>
        </w:tc>
      </w:tr>
      <w:tr w:rsidR="006A1BFA" w:rsidRPr="006A1BFA" w14:paraId="2C03BC18"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515121A6" w14:textId="521CDF8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 xml:space="preserve">Phon. Proc. - </w:t>
            </w:r>
            <w:r w:rsidR="00484792">
              <w:rPr>
                <w:rFonts w:ascii="Palatino Linotype" w:eastAsia="Times New Roman" w:hAnsi="Palatino Linotype" w:cs="Calibri"/>
                <w:color w:val="000000"/>
                <w:sz w:val="20"/>
                <w:szCs w:val="20"/>
              </w:rPr>
              <w:t>Substitution</w:t>
            </w:r>
          </w:p>
        </w:tc>
        <w:tc>
          <w:tcPr>
            <w:tcW w:w="1168" w:type="dxa"/>
            <w:tcBorders>
              <w:top w:val="nil"/>
              <w:left w:val="nil"/>
              <w:bottom w:val="nil"/>
              <w:right w:val="nil"/>
            </w:tcBorders>
            <w:shd w:val="clear" w:color="auto" w:fill="auto"/>
            <w:noWrap/>
            <w:vAlign w:val="bottom"/>
            <w:hideMark/>
          </w:tcPr>
          <w:p w14:paraId="3084D079"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PPSUB</w:t>
            </w:r>
          </w:p>
        </w:tc>
        <w:tc>
          <w:tcPr>
            <w:tcW w:w="1366" w:type="dxa"/>
            <w:tcBorders>
              <w:top w:val="nil"/>
              <w:left w:val="nil"/>
              <w:bottom w:val="nil"/>
              <w:right w:val="nil"/>
            </w:tcBorders>
            <w:shd w:val="clear" w:color="auto" w:fill="auto"/>
            <w:noWrap/>
            <w:vAlign w:val="bottom"/>
            <w:hideMark/>
          </w:tcPr>
          <w:p w14:paraId="723E77DD"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Ga</w:t>
            </w:r>
          </w:p>
        </w:tc>
        <w:tc>
          <w:tcPr>
            <w:tcW w:w="1240" w:type="dxa"/>
            <w:tcBorders>
              <w:top w:val="nil"/>
              <w:left w:val="nil"/>
              <w:bottom w:val="nil"/>
              <w:right w:val="nil"/>
            </w:tcBorders>
            <w:shd w:val="clear" w:color="auto" w:fill="auto"/>
            <w:noWrap/>
            <w:vAlign w:val="bottom"/>
            <w:hideMark/>
          </w:tcPr>
          <w:p w14:paraId="6189452E"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0.48</w:t>
            </w:r>
          </w:p>
        </w:tc>
        <w:tc>
          <w:tcPr>
            <w:tcW w:w="1088" w:type="dxa"/>
            <w:tcBorders>
              <w:top w:val="nil"/>
              <w:left w:val="nil"/>
              <w:bottom w:val="nil"/>
              <w:right w:val="nil"/>
            </w:tcBorders>
            <w:shd w:val="clear" w:color="auto" w:fill="auto"/>
            <w:noWrap/>
            <w:vAlign w:val="bottom"/>
            <w:hideMark/>
          </w:tcPr>
          <w:p w14:paraId="6A2FE521"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0.83</w:t>
            </w:r>
          </w:p>
        </w:tc>
        <w:tc>
          <w:tcPr>
            <w:tcW w:w="971" w:type="dxa"/>
            <w:tcBorders>
              <w:top w:val="nil"/>
              <w:left w:val="nil"/>
              <w:bottom w:val="nil"/>
              <w:right w:val="nil"/>
            </w:tcBorders>
            <w:shd w:val="clear" w:color="auto" w:fill="auto"/>
            <w:noWrap/>
            <w:vAlign w:val="bottom"/>
            <w:hideMark/>
          </w:tcPr>
          <w:p w14:paraId="4A7600A6"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0.92</w:t>
            </w:r>
          </w:p>
        </w:tc>
      </w:tr>
      <w:tr w:rsidR="006A1BFA" w:rsidRPr="006A1BFA" w14:paraId="42600DD9"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2653ABC1"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Segmentation</w:t>
            </w:r>
          </w:p>
        </w:tc>
        <w:tc>
          <w:tcPr>
            <w:tcW w:w="1168" w:type="dxa"/>
            <w:tcBorders>
              <w:top w:val="nil"/>
              <w:left w:val="nil"/>
              <w:bottom w:val="nil"/>
              <w:right w:val="nil"/>
            </w:tcBorders>
            <w:shd w:val="clear" w:color="auto" w:fill="auto"/>
            <w:noWrap/>
            <w:vAlign w:val="bottom"/>
            <w:hideMark/>
          </w:tcPr>
          <w:p w14:paraId="72F0C614"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SEGMNT</w:t>
            </w:r>
          </w:p>
        </w:tc>
        <w:tc>
          <w:tcPr>
            <w:tcW w:w="1366" w:type="dxa"/>
            <w:tcBorders>
              <w:top w:val="nil"/>
              <w:left w:val="nil"/>
              <w:bottom w:val="nil"/>
              <w:right w:val="nil"/>
            </w:tcBorders>
            <w:shd w:val="clear" w:color="auto" w:fill="auto"/>
            <w:noWrap/>
            <w:vAlign w:val="bottom"/>
            <w:hideMark/>
          </w:tcPr>
          <w:p w14:paraId="19EBEB99"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Ga</w:t>
            </w:r>
          </w:p>
        </w:tc>
        <w:tc>
          <w:tcPr>
            <w:tcW w:w="1240" w:type="dxa"/>
            <w:tcBorders>
              <w:top w:val="nil"/>
              <w:left w:val="nil"/>
              <w:bottom w:val="nil"/>
              <w:right w:val="nil"/>
            </w:tcBorders>
            <w:shd w:val="clear" w:color="auto" w:fill="auto"/>
            <w:noWrap/>
            <w:vAlign w:val="bottom"/>
            <w:hideMark/>
          </w:tcPr>
          <w:p w14:paraId="0ABA09A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0.13</w:t>
            </w:r>
          </w:p>
        </w:tc>
        <w:tc>
          <w:tcPr>
            <w:tcW w:w="1088" w:type="dxa"/>
            <w:tcBorders>
              <w:top w:val="nil"/>
              <w:left w:val="nil"/>
              <w:bottom w:val="nil"/>
              <w:right w:val="nil"/>
            </w:tcBorders>
            <w:shd w:val="clear" w:color="auto" w:fill="auto"/>
            <w:noWrap/>
            <w:vAlign w:val="bottom"/>
            <w:hideMark/>
          </w:tcPr>
          <w:p w14:paraId="1E110092"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0.76</w:t>
            </w:r>
          </w:p>
        </w:tc>
        <w:tc>
          <w:tcPr>
            <w:tcW w:w="971" w:type="dxa"/>
            <w:tcBorders>
              <w:top w:val="nil"/>
              <w:left w:val="nil"/>
              <w:bottom w:val="nil"/>
              <w:right w:val="nil"/>
            </w:tcBorders>
            <w:shd w:val="clear" w:color="auto" w:fill="auto"/>
            <w:noWrap/>
            <w:vAlign w:val="bottom"/>
            <w:hideMark/>
          </w:tcPr>
          <w:p w14:paraId="0D4F9DA9"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0.72</w:t>
            </w:r>
          </w:p>
        </w:tc>
      </w:tr>
      <w:tr w:rsidR="006A1BFA" w:rsidRPr="006A1BFA" w14:paraId="3D1E0DCB"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7A00132C"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Sound Blending</w:t>
            </w:r>
          </w:p>
        </w:tc>
        <w:tc>
          <w:tcPr>
            <w:tcW w:w="1168" w:type="dxa"/>
            <w:tcBorders>
              <w:top w:val="nil"/>
              <w:left w:val="nil"/>
              <w:bottom w:val="nil"/>
              <w:right w:val="nil"/>
            </w:tcBorders>
            <w:shd w:val="clear" w:color="auto" w:fill="auto"/>
            <w:noWrap/>
            <w:vAlign w:val="bottom"/>
            <w:hideMark/>
          </w:tcPr>
          <w:p w14:paraId="6FEC7AEA"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SNDBLN</w:t>
            </w:r>
          </w:p>
        </w:tc>
        <w:tc>
          <w:tcPr>
            <w:tcW w:w="1366" w:type="dxa"/>
            <w:tcBorders>
              <w:top w:val="nil"/>
              <w:left w:val="nil"/>
              <w:bottom w:val="nil"/>
              <w:right w:val="nil"/>
            </w:tcBorders>
            <w:shd w:val="clear" w:color="auto" w:fill="auto"/>
            <w:noWrap/>
            <w:vAlign w:val="bottom"/>
            <w:hideMark/>
          </w:tcPr>
          <w:p w14:paraId="5E344DA1"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Ga</w:t>
            </w:r>
          </w:p>
        </w:tc>
        <w:tc>
          <w:tcPr>
            <w:tcW w:w="1240" w:type="dxa"/>
            <w:tcBorders>
              <w:top w:val="nil"/>
              <w:left w:val="nil"/>
              <w:bottom w:val="nil"/>
              <w:right w:val="nil"/>
            </w:tcBorders>
            <w:shd w:val="clear" w:color="auto" w:fill="auto"/>
            <w:noWrap/>
            <w:vAlign w:val="bottom"/>
            <w:hideMark/>
          </w:tcPr>
          <w:p w14:paraId="1793059D"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0.09</w:t>
            </w:r>
          </w:p>
        </w:tc>
        <w:tc>
          <w:tcPr>
            <w:tcW w:w="1088" w:type="dxa"/>
            <w:tcBorders>
              <w:top w:val="nil"/>
              <w:left w:val="nil"/>
              <w:bottom w:val="nil"/>
              <w:right w:val="nil"/>
            </w:tcBorders>
            <w:shd w:val="clear" w:color="auto" w:fill="auto"/>
            <w:noWrap/>
            <w:vAlign w:val="bottom"/>
            <w:hideMark/>
          </w:tcPr>
          <w:p w14:paraId="7E4B0FA1"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0.80</w:t>
            </w:r>
          </w:p>
        </w:tc>
        <w:tc>
          <w:tcPr>
            <w:tcW w:w="971" w:type="dxa"/>
            <w:tcBorders>
              <w:top w:val="nil"/>
              <w:left w:val="nil"/>
              <w:bottom w:val="nil"/>
              <w:right w:val="nil"/>
            </w:tcBorders>
            <w:shd w:val="clear" w:color="auto" w:fill="auto"/>
            <w:noWrap/>
            <w:vAlign w:val="bottom"/>
            <w:hideMark/>
          </w:tcPr>
          <w:p w14:paraId="20A38B2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0.66</w:t>
            </w:r>
          </w:p>
        </w:tc>
      </w:tr>
      <w:tr w:rsidR="006A1BFA" w:rsidRPr="006A1BFA" w14:paraId="32C256B6"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4503E82E"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p>
        </w:tc>
        <w:tc>
          <w:tcPr>
            <w:tcW w:w="1168" w:type="dxa"/>
            <w:tcBorders>
              <w:top w:val="nil"/>
              <w:left w:val="nil"/>
              <w:bottom w:val="nil"/>
              <w:right w:val="nil"/>
            </w:tcBorders>
            <w:shd w:val="clear" w:color="auto" w:fill="auto"/>
            <w:noWrap/>
            <w:vAlign w:val="bottom"/>
            <w:hideMark/>
          </w:tcPr>
          <w:p w14:paraId="41EF18D5" w14:textId="77777777" w:rsidR="006A1BFA" w:rsidRPr="006A1BFA" w:rsidRDefault="006A1BFA" w:rsidP="006A1BFA">
            <w:pPr>
              <w:spacing w:after="0" w:line="240" w:lineRule="auto"/>
              <w:ind w:firstLineChars="100" w:firstLine="200"/>
              <w:rPr>
                <w:rFonts w:ascii="Times New Roman" w:eastAsia="Times New Roman" w:hAnsi="Times New Roman" w:cs="Times New Roman"/>
                <w:sz w:val="20"/>
                <w:szCs w:val="20"/>
              </w:rPr>
            </w:pPr>
          </w:p>
        </w:tc>
        <w:tc>
          <w:tcPr>
            <w:tcW w:w="1366" w:type="dxa"/>
            <w:tcBorders>
              <w:top w:val="nil"/>
              <w:left w:val="nil"/>
              <w:bottom w:val="nil"/>
              <w:right w:val="nil"/>
            </w:tcBorders>
            <w:shd w:val="clear" w:color="auto" w:fill="auto"/>
            <w:noWrap/>
            <w:vAlign w:val="bottom"/>
            <w:hideMark/>
          </w:tcPr>
          <w:p w14:paraId="0C988158"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51A6B7E7"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14:paraId="03E9F5D5"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971" w:type="dxa"/>
            <w:tcBorders>
              <w:top w:val="nil"/>
              <w:left w:val="nil"/>
              <w:bottom w:val="nil"/>
              <w:right w:val="nil"/>
            </w:tcBorders>
            <w:shd w:val="clear" w:color="auto" w:fill="auto"/>
            <w:noWrap/>
            <w:vAlign w:val="bottom"/>
            <w:hideMark/>
          </w:tcPr>
          <w:p w14:paraId="4188A8D9"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r>
      <w:tr w:rsidR="006A1BFA" w:rsidRPr="006A1BFA" w14:paraId="72D31D18"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648561B3" w14:textId="4542693C"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Phon. Proc</w:t>
            </w:r>
            <w:r w:rsidR="00975068">
              <w:rPr>
                <w:rFonts w:ascii="Palatino Linotype" w:eastAsia="Times New Roman" w:hAnsi="Palatino Linotype" w:cs="Calibri"/>
                <w:color w:val="000000"/>
                <w:sz w:val="20"/>
                <w:szCs w:val="20"/>
              </w:rPr>
              <w:t xml:space="preserve">. </w:t>
            </w:r>
            <w:r w:rsidRPr="006A1BFA">
              <w:rPr>
                <w:rFonts w:ascii="Palatino Linotype" w:eastAsia="Times New Roman" w:hAnsi="Palatino Linotype" w:cs="Calibri"/>
                <w:color w:val="000000"/>
                <w:sz w:val="20"/>
                <w:szCs w:val="20"/>
              </w:rPr>
              <w:t>-</w:t>
            </w:r>
            <w:r w:rsidR="00975068">
              <w:rPr>
                <w:rFonts w:ascii="Palatino Linotype" w:eastAsia="Times New Roman" w:hAnsi="Palatino Linotype" w:cs="Calibri"/>
                <w:color w:val="000000"/>
                <w:sz w:val="20"/>
                <w:szCs w:val="20"/>
              </w:rPr>
              <w:t xml:space="preserve"> </w:t>
            </w:r>
            <w:r w:rsidRPr="006A1BFA">
              <w:rPr>
                <w:rFonts w:ascii="Palatino Linotype" w:eastAsia="Times New Roman" w:hAnsi="Palatino Linotype" w:cs="Calibri"/>
                <w:color w:val="000000"/>
                <w:sz w:val="20"/>
                <w:szCs w:val="20"/>
              </w:rPr>
              <w:t>Word Fluency</w:t>
            </w:r>
          </w:p>
        </w:tc>
        <w:tc>
          <w:tcPr>
            <w:tcW w:w="1168" w:type="dxa"/>
            <w:tcBorders>
              <w:top w:val="nil"/>
              <w:left w:val="nil"/>
              <w:bottom w:val="nil"/>
              <w:right w:val="nil"/>
            </w:tcBorders>
            <w:shd w:val="clear" w:color="auto" w:fill="auto"/>
            <w:noWrap/>
            <w:vAlign w:val="bottom"/>
            <w:hideMark/>
          </w:tcPr>
          <w:p w14:paraId="6C020B35"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PPFLU</w:t>
            </w:r>
          </w:p>
        </w:tc>
        <w:tc>
          <w:tcPr>
            <w:tcW w:w="1366" w:type="dxa"/>
            <w:tcBorders>
              <w:top w:val="nil"/>
              <w:left w:val="nil"/>
              <w:bottom w:val="nil"/>
              <w:right w:val="nil"/>
            </w:tcBorders>
            <w:shd w:val="clear" w:color="auto" w:fill="auto"/>
            <w:noWrap/>
            <w:vAlign w:val="bottom"/>
            <w:hideMark/>
          </w:tcPr>
          <w:p w14:paraId="2574E1C6"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Gr</w:t>
            </w:r>
          </w:p>
        </w:tc>
        <w:tc>
          <w:tcPr>
            <w:tcW w:w="1240" w:type="dxa"/>
            <w:tcBorders>
              <w:top w:val="nil"/>
              <w:left w:val="nil"/>
              <w:bottom w:val="nil"/>
              <w:right w:val="nil"/>
            </w:tcBorders>
            <w:shd w:val="clear" w:color="auto" w:fill="auto"/>
            <w:noWrap/>
            <w:vAlign w:val="bottom"/>
            <w:hideMark/>
          </w:tcPr>
          <w:p w14:paraId="1006239A"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0.17</w:t>
            </w:r>
          </w:p>
        </w:tc>
        <w:tc>
          <w:tcPr>
            <w:tcW w:w="1088" w:type="dxa"/>
            <w:tcBorders>
              <w:top w:val="nil"/>
              <w:left w:val="nil"/>
              <w:bottom w:val="nil"/>
              <w:right w:val="nil"/>
            </w:tcBorders>
            <w:shd w:val="clear" w:color="auto" w:fill="auto"/>
            <w:noWrap/>
            <w:vAlign w:val="bottom"/>
            <w:hideMark/>
          </w:tcPr>
          <w:p w14:paraId="56908709"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0.88</w:t>
            </w:r>
          </w:p>
        </w:tc>
        <w:tc>
          <w:tcPr>
            <w:tcW w:w="971" w:type="dxa"/>
            <w:tcBorders>
              <w:top w:val="nil"/>
              <w:left w:val="nil"/>
              <w:bottom w:val="nil"/>
              <w:right w:val="nil"/>
            </w:tcBorders>
            <w:shd w:val="clear" w:color="auto" w:fill="auto"/>
            <w:noWrap/>
            <w:vAlign w:val="bottom"/>
            <w:hideMark/>
          </w:tcPr>
          <w:p w14:paraId="0199580A"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0.81</w:t>
            </w:r>
          </w:p>
        </w:tc>
      </w:tr>
      <w:tr w:rsidR="006A1BFA" w:rsidRPr="006A1BFA" w14:paraId="694DF678"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28101B08" w14:textId="38B816FC" w:rsidR="006A1BFA" w:rsidRPr="006A1BFA" w:rsidRDefault="00484792" w:rsidP="006A1BFA">
            <w:pPr>
              <w:spacing w:after="0" w:line="240" w:lineRule="auto"/>
              <w:ind w:firstLineChars="100" w:firstLine="200"/>
              <w:rPr>
                <w:rFonts w:ascii="Palatino Linotype" w:eastAsia="Times New Roman" w:hAnsi="Palatino Linotype" w:cs="Calibri"/>
                <w:color w:val="000000"/>
                <w:sz w:val="20"/>
                <w:szCs w:val="20"/>
              </w:rPr>
            </w:pPr>
            <w:r>
              <w:rPr>
                <w:rFonts w:ascii="Palatino Linotype" w:eastAsia="Times New Roman" w:hAnsi="Palatino Linotype" w:cs="Calibri"/>
                <w:color w:val="000000"/>
                <w:sz w:val="20"/>
                <w:szCs w:val="20"/>
              </w:rPr>
              <w:t>Retrieval</w:t>
            </w:r>
            <w:r w:rsidRPr="006A1BFA">
              <w:rPr>
                <w:rFonts w:ascii="Palatino Linotype" w:eastAsia="Times New Roman" w:hAnsi="Palatino Linotype" w:cs="Calibri"/>
                <w:color w:val="000000"/>
                <w:sz w:val="20"/>
                <w:szCs w:val="20"/>
              </w:rPr>
              <w:t xml:space="preserve"> </w:t>
            </w:r>
            <w:r w:rsidR="006A1BFA" w:rsidRPr="006A1BFA">
              <w:rPr>
                <w:rFonts w:ascii="Palatino Linotype" w:eastAsia="Times New Roman" w:hAnsi="Palatino Linotype" w:cs="Calibri"/>
                <w:color w:val="000000"/>
                <w:sz w:val="20"/>
                <w:szCs w:val="20"/>
              </w:rPr>
              <w:t>Fluency</w:t>
            </w:r>
          </w:p>
        </w:tc>
        <w:tc>
          <w:tcPr>
            <w:tcW w:w="1168" w:type="dxa"/>
            <w:tcBorders>
              <w:top w:val="nil"/>
              <w:left w:val="nil"/>
              <w:bottom w:val="nil"/>
              <w:right w:val="nil"/>
            </w:tcBorders>
            <w:shd w:val="clear" w:color="auto" w:fill="auto"/>
            <w:noWrap/>
            <w:vAlign w:val="bottom"/>
            <w:hideMark/>
          </w:tcPr>
          <w:p w14:paraId="0CE9C3EC"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RETFLU</w:t>
            </w:r>
          </w:p>
        </w:tc>
        <w:tc>
          <w:tcPr>
            <w:tcW w:w="1366" w:type="dxa"/>
            <w:tcBorders>
              <w:top w:val="nil"/>
              <w:left w:val="nil"/>
              <w:bottom w:val="nil"/>
              <w:right w:val="nil"/>
            </w:tcBorders>
            <w:shd w:val="clear" w:color="auto" w:fill="auto"/>
            <w:noWrap/>
            <w:vAlign w:val="bottom"/>
            <w:hideMark/>
          </w:tcPr>
          <w:p w14:paraId="7F0DE92E"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Gr</w:t>
            </w:r>
          </w:p>
        </w:tc>
        <w:tc>
          <w:tcPr>
            <w:tcW w:w="1240" w:type="dxa"/>
            <w:tcBorders>
              <w:top w:val="nil"/>
              <w:left w:val="nil"/>
              <w:bottom w:val="nil"/>
              <w:right w:val="nil"/>
            </w:tcBorders>
            <w:shd w:val="clear" w:color="auto" w:fill="auto"/>
            <w:noWrap/>
            <w:vAlign w:val="bottom"/>
            <w:hideMark/>
          </w:tcPr>
          <w:p w14:paraId="53B78F9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0.44</w:t>
            </w:r>
          </w:p>
        </w:tc>
        <w:tc>
          <w:tcPr>
            <w:tcW w:w="1088" w:type="dxa"/>
            <w:tcBorders>
              <w:top w:val="nil"/>
              <w:left w:val="nil"/>
              <w:bottom w:val="nil"/>
              <w:right w:val="nil"/>
            </w:tcBorders>
            <w:shd w:val="clear" w:color="auto" w:fill="auto"/>
            <w:noWrap/>
            <w:vAlign w:val="bottom"/>
            <w:hideMark/>
          </w:tcPr>
          <w:p w14:paraId="440D1DED"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0.94</w:t>
            </w:r>
          </w:p>
        </w:tc>
        <w:tc>
          <w:tcPr>
            <w:tcW w:w="971" w:type="dxa"/>
            <w:tcBorders>
              <w:top w:val="nil"/>
              <w:left w:val="nil"/>
              <w:bottom w:val="nil"/>
              <w:right w:val="nil"/>
            </w:tcBorders>
            <w:shd w:val="clear" w:color="auto" w:fill="auto"/>
            <w:noWrap/>
            <w:vAlign w:val="bottom"/>
            <w:hideMark/>
          </w:tcPr>
          <w:p w14:paraId="4641E729"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0.92</w:t>
            </w:r>
          </w:p>
        </w:tc>
      </w:tr>
      <w:tr w:rsidR="006A1BFA" w:rsidRPr="006A1BFA" w14:paraId="617F0A1F"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6EF54CFB"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p>
        </w:tc>
        <w:tc>
          <w:tcPr>
            <w:tcW w:w="1168" w:type="dxa"/>
            <w:tcBorders>
              <w:top w:val="nil"/>
              <w:left w:val="nil"/>
              <w:bottom w:val="nil"/>
              <w:right w:val="nil"/>
            </w:tcBorders>
            <w:shd w:val="clear" w:color="auto" w:fill="auto"/>
            <w:noWrap/>
            <w:vAlign w:val="bottom"/>
            <w:hideMark/>
          </w:tcPr>
          <w:p w14:paraId="53972EE5" w14:textId="77777777" w:rsidR="006A1BFA" w:rsidRPr="006A1BFA" w:rsidRDefault="006A1BFA" w:rsidP="006A1BFA">
            <w:pPr>
              <w:spacing w:after="0" w:line="240" w:lineRule="auto"/>
              <w:ind w:firstLineChars="100" w:firstLine="200"/>
              <w:rPr>
                <w:rFonts w:ascii="Times New Roman" w:eastAsia="Times New Roman" w:hAnsi="Times New Roman" w:cs="Times New Roman"/>
                <w:sz w:val="20"/>
                <w:szCs w:val="20"/>
              </w:rPr>
            </w:pPr>
          </w:p>
        </w:tc>
        <w:tc>
          <w:tcPr>
            <w:tcW w:w="1366" w:type="dxa"/>
            <w:tcBorders>
              <w:top w:val="nil"/>
              <w:left w:val="nil"/>
              <w:bottom w:val="nil"/>
              <w:right w:val="nil"/>
            </w:tcBorders>
            <w:shd w:val="clear" w:color="auto" w:fill="auto"/>
            <w:noWrap/>
            <w:vAlign w:val="bottom"/>
            <w:hideMark/>
          </w:tcPr>
          <w:p w14:paraId="69EEEED1"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0E4CA9C9"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14:paraId="2E1A400A"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971" w:type="dxa"/>
            <w:tcBorders>
              <w:top w:val="nil"/>
              <w:left w:val="nil"/>
              <w:bottom w:val="nil"/>
              <w:right w:val="nil"/>
            </w:tcBorders>
            <w:shd w:val="clear" w:color="auto" w:fill="auto"/>
            <w:noWrap/>
            <w:vAlign w:val="bottom"/>
            <w:hideMark/>
          </w:tcPr>
          <w:p w14:paraId="40178611"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r>
      <w:tr w:rsidR="006A1BFA" w:rsidRPr="006A1BFA" w14:paraId="042CB01A"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61B44032"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Object-Number Sequencing</w:t>
            </w:r>
          </w:p>
        </w:tc>
        <w:tc>
          <w:tcPr>
            <w:tcW w:w="1168" w:type="dxa"/>
            <w:tcBorders>
              <w:top w:val="nil"/>
              <w:left w:val="nil"/>
              <w:bottom w:val="nil"/>
              <w:right w:val="nil"/>
            </w:tcBorders>
            <w:shd w:val="clear" w:color="auto" w:fill="auto"/>
            <w:noWrap/>
            <w:vAlign w:val="bottom"/>
            <w:hideMark/>
          </w:tcPr>
          <w:p w14:paraId="5B0F9E72"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OBJNUM</w:t>
            </w:r>
          </w:p>
        </w:tc>
        <w:tc>
          <w:tcPr>
            <w:tcW w:w="1366" w:type="dxa"/>
            <w:tcBorders>
              <w:top w:val="nil"/>
              <w:left w:val="nil"/>
              <w:bottom w:val="nil"/>
              <w:right w:val="nil"/>
            </w:tcBorders>
            <w:shd w:val="clear" w:color="auto" w:fill="auto"/>
            <w:noWrap/>
            <w:vAlign w:val="bottom"/>
            <w:hideMark/>
          </w:tcPr>
          <w:p w14:paraId="013E64E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Gwm</w:t>
            </w:r>
          </w:p>
        </w:tc>
        <w:tc>
          <w:tcPr>
            <w:tcW w:w="1240" w:type="dxa"/>
            <w:tcBorders>
              <w:top w:val="nil"/>
              <w:left w:val="nil"/>
              <w:bottom w:val="nil"/>
              <w:right w:val="nil"/>
            </w:tcBorders>
            <w:shd w:val="clear" w:color="auto" w:fill="auto"/>
            <w:noWrap/>
            <w:vAlign w:val="bottom"/>
            <w:hideMark/>
          </w:tcPr>
          <w:p w14:paraId="51B23541"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0.35</w:t>
            </w:r>
          </w:p>
        </w:tc>
        <w:tc>
          <w:tcPr>
            <w:tcW w:w="1088" w:type="dxa"/>
            <w:tcBorders>
              <w:top w:val="nil"/>
              <w:left w:val="nil"/>
              <w:bottom w:val="nil"/>
              <w:right w:val="nil"/>
            </w:tcBorders>
            <w:shd w:val="clear" w:color="auto" w:fill="auto"/>
            <w:noWrap/>
            <w:vAlign w:val="bottom"/>
            <w:hideMark/>
          </w:tcPr>
          <w:p w14:paraId="3CB1ED0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0.91</w:t>
            </w:r>
          </w:p>
        </w:tc>
        <w:tc>
          <w:tcPr>
            <w:tcW w:w="971" w:type="dxa"/>
            <w:tcBorders>
              <w:top w:val="nil"/>
              <w:left w:val="nil"/>
              <w:bottom w:val="nil"/>
              <w:right w:val="nil"/>
            </w:tcBorders>
            <w:shd w:val="clear" w:color="auto" w:fill="auto"/>
            <w:noWrap/>
            <w:vAlign w:val="bottom"/>
            <w:hideMark/>
          </w:tcPr>
          <w:p w14:paraId="10E033B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0.76</w:t>
            </w:r>
          </w:p>
        </w:tc>
      </w:tr>
      <w:tr w:rsidR="006A1BFA" w:rsidRPr="006A1BFA" w14:paraId="6AF9CD49"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416C86E6"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Memory for Words</w:t>
            </w:r>
          </w:p>
        </w:tc>
        <w:tc>
          <w:tcPr>
            <w:tcW w:w="1168" w:type="dxa"/>
            <w:tcBorders>
              <w:top w:val="nil"/>
              <w:left w:val="nil"/>
              <w:bottom w:val="nil"/>
              <w:right w:val="nil"/>
            </w:tcBorders>
            <w:shd w:val="clear" w:color="auto" w:fill="auto"/>
            <w:noWrap/>
            <w:vAlign w:val="bottom"/>
            <w:hideMark/>
          </w:tcPr>
          <w:p w14:paraId="7B7FFAE5"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MEMWRD</w:t>
            </w:r>
          </w:p>
        </w:tc>
        <w:tc>
          <w:tcPr>
            <w:tcW w:w="1366" w:type="dxa"/>
            <w:tcBorders>
              <w:top w:val="nil"/>
              <w:left w:val="nil"/>
              <w:bottom w:val="nil"/>
              <w:right w:val="nil"/>
            </w:tcBorders>
            <w:shd w:val="clear" w:color="auto" w:fill="auto"/>
            <w:noWrap/>
            <w:vAlign w:val="bottom"/>
            <w:hideMark/>
          </w:tcPr>
          <w:p w14:paraId="77C91F1F"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Gwm</w:t>
            </w:r>
          </w:p>
        </w:tc>
        <w:tc>
          <w:tcPr>
            <w:tcW w:w="1240" w:type="dxa"/>
            <w:tcBorders>
              <w:top w:val="nil"/>
              <w:left w:val="nil"/>
              <w:bottom w:val="nil"/>
              <w:right w:val="nil"/>
            </w:tcBorders>
            <w:shd w:val="clear" w:color="auto" w:fill="auto"/>
            <w:noWrap/>
            <w:vAlign w:val="bottom"/>
            <w:hideMark/>
          </w:tcPr>
          <w:p w14:paraId="79BBD2E2"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0.13</w:t>
            </w:r>
          </w:p>
        </w:tc>
        <w:tc>
          <w:tcPr>
            <w:tcW w:w="1088" w:type="dxa"/>
            <w:tcBorders>
              <w:top w:val="nil"/>
              <w:left w:val="nil"/>
              <w:bottom w:val="nil"/>
              <w:right w:val="nil"/>
            </w:tcBorders>
            <w:shd w:val="clear" w:color="auto" w:fill="auto"/>
            <w:noWrap/>
            <w:vAlign w:val="bottom"/>
            <w:hideMark/>
          </w:tcPr>
          <w:p w14:paraId="35961439"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0.85</w:t>
            </w:r>
          </w:p>
        </w:tc>
        <w:tc>
          <w:tcPr>
            <w:tcW w:w="971" w:type="dxa"/>
            <w:tcBorders>
              <w:top w:val="nil"/>
              <w:left w:val="nil"/>
              <w:bottom w:val="nil"/>
              <w:right w:val="nil"/>
            </w:tcBorders>
            <w:shd w:val="clear" w:color="auto" w:fill="auto"/>
            <w:noWrap/>
            <w:vAlign w:val="bottom"/>
            <w:hideMark/>
          </w:tcPr>
          <w:p w14:paraId="5992ACBE"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0.81</w:t>
            </w:r>
          </w:p>
        </w:tc>
      </w:tr>
      <w:tr w:rsidR="006A1BFA" w:rsidRPr="006A1BFA" w14:paraId="2AE16C0F"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0C4568AD"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Verbal Attention</w:t>
            </w:r>
          </w:p>
        </w:tc>
        <w:tc>
          <w:tcPr>
            <w:tcW w:w="1168" w:type="dxa"/>
            <w:tcBorders>
              <w:top w:val="nil"/>
              <w:left w:val="nil"/>
              <w:bottom w:val="nil"/>
              <w:right w:val="nil"/>
            </w:tcBorders>
            <w:shd w:val="clear" w:color="auto" w:fill="auto"/>
            <w:noWrap/>
            <w:vAlign w:val="bottom"/>
            <w:hideMark/>
          </w:tcPr>
          <w:p w14:paraId="5DCD71C3"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VRBATN</w:t>
            </w:r>
          </w:p>
        </w:tc>
        <w:tc>
          <w:tcPr>
            <w:tcW w:w="1366" w:type="dxa"/>
            <w:tcBorders>
              <w:top w:val="nil"/>
              <w:left w:val="nil"/>
              <w:bottom w:val="nil"/>
              <w:right w:val="nil"/>
            </w:tcBorders>
            <w:shd w:val="clear" w:color="auto" w:fill="auto"/>
            <w:noWrap/>
            <w:vAlign w:val="bottom"/>
            <w:hideMark/>
          </w:tcPr>
          <w:p w14:paraId="2D923988"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Gwm</w:t>
            </w:r>
          </w:p>
        </w:tc>
        <w:tc>
          <w:tcPr>
            <w:tcW w:w="1240" w:type="dxa"/>
            <w:tcBorders>
              <w:top w:val="nil"/>
              <w:left w:val="nil"/>
              <w:bottom w:val="nil"/>
              <w:right w:val="nil"/>
            </w:tcBorders>
            <w:shd w:val="clear" w:color="auto" w:fill="auto"/>
            <w:noWrap/>
            <w:vAlign w:val="bottom"/>
            <w:hideMark/>
          </w:tcPr>
          <w:p w14:paraId="5DB5DB44"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0.74</w:t>
            </w:r>
          </w:p>
        </w:tc>
        <w:tc>
          <w:tcPr>
            <w:tcW w:w="1088" w:type="dxa"/>
            <w:tcBorders>
              <w:top w:val="nil"/>
              <w:left w:val="nil"/>
              <w:bottom w:val="nil"/>
              <w:right w:val="nil"/>
            </w:tcBorders>
            <w:shd w:val="clear" w:color="auto" w:fill="auto"/>
            <w:noWrap/>
            <w:vAlign w:val="bottom"/>
            <w:hideMark/>
          </w:tcPr>
          <w:p w14:paraId="24A996C6"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1.00</w:t>
            </w:r>
          </w:p>
        </w:tc>
        <w:tc>
          <w:tcPr>
            <w:tcW w:w="971" w:type="dxa"/>
            <w:tcBorders>
              <w:top w:val="nil"/>
              <w:left w:val="nil"/>
              <w:bottom w:val="nil"/>
              <w:right w:val="nil"/>
            </w:tcBorders>
            <w:shd w:val="clear" w:color="auto" w:fill="auto"/>
            <w:noWrap/>
            <w:vAlign w:val="bottom"/>
            <w:hideMark/>
          </w:tcPr>
          <w:p w14:paraId="1909DFF5"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1.00</w:t>
            </w:r>
          </w:p>
        </w:tc>
      </w:tr>
      <w:tr w:rsidR="006A1BFA" w:rsidRPr="006A1BFA" w14:paraId="4D8D47F5"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24FB3BD1"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p>
        </w:tc>
        <w:tc>
          <w:tcPr>
            <w:tcW w:w="1168" w:type="dxa"/>
            <w:tcBorders>
              <w:top w:val="nil"/>
              <w:left w:val="nil"/>
              <w:bottom w:val="nil"/>
              <w:right w:val="nil"/>
            </w:tcBorders>
            <w:shd w:val="clear" w:color="auto" w:fill="auto"/>
            <w:noWrap/>
            <w:vAlign w:val="bottom"/>
            <w:hideMark/>
          </w:tcPr>
          <w:p w14:paraId="55327586" w14:textId="77777777" w:rsidR="006A1BFA" w:rsidRPr="006A1BFA" w:rsidRDefault="006A1BFA" w:rsidP="006A1BFA">
            <w:pPr>
              <w:spacing w:after="0" w:line="240" w:lineRule="auto"/>
              <w:ind w:firstLineChars="100" w:firstLine="200"/>
              <w:rPr>
                <w:rFonts w:ascii="Times New Roman" w:eastAsia="Times New Roman" w:hAnsi="Times New Roman" w:cs="Times New Roman"/>
                <w:sz w:val="20"/>
                <w:szCs w:val="20"/>
              </w:rPr>
            </w:pPr>
          </w:p>
        </w:tc>
        <w:tc>
          <w:tcPr>
            <w:tcW w:w="1366" w:type="dxa"/>
            <w:tcBorders>
              <w:top w:val="nil"/>
              <w:left w:val="nil"/>
              <w:bottom w:val="nil"/>
              <w:right w:val="nil"/>
            </w:tcBorders>
            <w:shd w:val="clear" w:color="auto" w:fill="auto"/>
            <w:noWrap/>
            <w:vAlign w:val="bottom"/>
            <w:hideMark/>
          </w:tcPr>
          <w:p w14:paraId="0BD38327"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4C5B311B"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14:paraId="6177ACA7"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c>
          <w:tcPr>
            <w:tcW w:w="971" w:type="dxa"/>
            <w:tcBorders>
              <w:top w:val="nil"/>
              <w:left w:val="nil"/>
              <w:bottom w:val="nil"/>
              <w:right w:val="nil"/>
            </w:tcBorders>
            <w:shd w:val="clear" w:color="auto" w:fill="auto"/>
            <w:noWrap/>
            <w:vAlign w:val="bottom"/>
            <w:hideMark/>
          </w:tcPr>
          <w:p w14:paraId="47276653" w14:textId="77777777" w:rsidR="006A1BFA" w:rsidRPr="006A1BFA" w:rsidRDefault="006A1BFA" w:rsidP="006A1BFA">
            <w:pPr>
              <w:spacing w:after="0" w:line="240" w:lineRule="auto"/>
              <w:jc w:val="center"/>
              <w:rPr>
                <w:rFonts w:ascii="Times New Roman" w:eastAsia="Times New Roman" w:hAnsi="Times New Roman" w:cs="Times New Roman"/>
                <w:sz w:val="20"/>
                <w:szCs w:val="20"/>
              </w:rPr>
            </w:pPr>
          </w:p>
        </w:tc>
      </w:tr>
      <w:tr w:rsidR="006A1BFA" w:rsidRPr="006A1BFA" w14:paraId="073756C1"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400E589F"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Letter-Pattern Matching</w:t>
            </w:r>
          </w:p>
        </w:tc>
        <w:tc>
          <w:tcPr>
            <w:tcW w:w="1168" w:type="dxa"/>
            <w:tcBorders>
              <w:top w:val="nil"/>
              <w:left w:val="nil"/>
              <w:bottom w:val="nil"/>
              <w:right w:val="nil"/>
            </w:tcBorders>
            <w:shd w:val="clear" w:color="auto" w:fill="auto"/>
            <w:noWrap/>
            <w:vAlign w:val="bottom"/>
            <w:hideMark/>
          </w:tcPr>
          <w:p w14:paraId="016AA4B5"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LETPAT</w:t>
            </w:r>
          </w:p>
        </w:tc>
        <w:tc>
          <w:tcPr>
            <w:tcW w:w="1366" w:type="dxa"/>
            <w:tcBorders>
              <w:top w:val="nil"/>
              <w:left w:val="nil"/>
              <w:bottom w:val="nil"/>
              <w:right w:val="nil"/>
            </w:tcBorders>
            <w:shd w:val="clear" w:color="auto" w:fill="auto"/>
            <w:noWrap/>
            <w:vAlign w:val="bottom"/>
            <w:hideMark/>
          </w:tcPr>
          <w:p w14:paraId="733D582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Gs</w:t>
            </w:r>
          </w:p>
        </w:tc>
        <w:tc>
          <w:tcPr>
            <w:tcW w:w="1240" w:type="dxa"/>
            <w:tcBorders>
              <w:top w:val="nil"/>
              <w:left w:val="nil"/>
              <w:bottom w:val="nil"/>
              <w:right w:val="nil"/>
            </w:tcBorders>
            <w:shd w:val="clear" w:color="auto" w:fill="auto"/>
            <w:noWrap/>
            <w:vAlign w:val="bottom"/>
            <w:hideMark/>
          </w:tcPr>
          <w:p w14:paraId="136C4E1B"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0.74</w:t>
            </w:r>
          </w:p>
        </w:tc>
        <w:tc>
          <w:tcPr>
            <w:tcW w:w="1088" w:type="dxa"/>
            <w:tcBorders>
              <w:top w:val="nil"/>
              <w:left w:val="nil"/>
              <w:bottom w:val="nil"/>
              <w:right w:val="nil"/>
            </w:tcBorders>
            <w:shd w:val="clear" w:color="auto" w:fill="auto"/>
            <w:noWrap/>
            <w:vAlign w:val="bottom"/>
            <w:hideMark/>
          </w:tcPr>
          <w:p w14:paraId="3CFD10CA"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0.92</w:t>
            </w:r>
          </w:p>
        </w:tc>
        <w:tc>
          <w:tcPr>
            <w:tcW w:w="971" w:type="dxa"/>
            <w:tcBorders>
              <w:top w:val="nil"/>
              <w:left w:val="nil"/>
              <w:bottom w:val="nil"/>
              <w:right w:val="nil"/>
            </w:tcBorders>
            <w:shd w:val="clear" w:color="auto" w:fill="auto"/>
            <w:noWrap/>
            <w:vAlign w:val="bottom"/>
            <w:hideMark/>
          </w:tcPr>
          <w:p w14:paraId="5379EAF3" w14:textId="77777777" w:rsidR="006A1BFA" w:rsidRPr="006A1BFA" w:rsidRDefault="006A1BFA" w:rsidP="006A1BFA">
            <w:pPr>
              <w:spacing w:after="0" w:line="240" w:lineRule="auto"/>
              <w:jc w:val="center"/>
              <w:rPr>
                <w:rFonts w:ascii="Palatino Linotype" w:eastAsia="Times New Roman" w:hAnsi="Palatino Linotype" w:cs="Calibri"/>
                <w:b/>
                <w:bCs/>
                <w:color w:val="000000"/>
                <w:sz w:val="20"/>
                <w:szCs w:val="20"/>
              </w:rPr>
            </w:pPr>
            <w:r w:rsidRPr="006A1BFA">
              <w:rPr>
                <w:rFonts w:ascii="Palatino Linotype" w:eastAsia="Times New Roman" w:hAnsi="Palatino Linotype" w:cs="Calibri"/>
                <w:b/>
                <w:bCs/>
                <w:color w:val="000000"/>
                <w:sz w:val="20"/>
                <w:szCs w:val="20"/>
              </w:rPr>
              <w:t>0.95</w:t>
            </w:r>
          </w:p>
        </w:tc>
      </w:tr>
      <w:tr w:rsidR="006A1BFA" w:rsidRPr="006A1BFA" w14:paraId="7B54FC29" w14:textId="77777777" w:rsidTr="00975068">
        <w:trPr>
          <w:trHeight w:val="300"/>
        </w:trPr>
        <w:tc>
          <w:tcPr>
            <w:tcW w:w="3060" w:type="dxa"/>
            <w:gridSpan w:val="2"/>
            <w:tcBorders>
              <w:top w:val="nil"/>
              <w:left w:val="nil"/>
              <w:bottom w:val="nil"/>
              <w:right w:val="nil"/>
            </w:tcBorders>
            <w:shd w:val="clear" w:color="auto" w:fill="auto"/>
            <w:noWrap/>
            <w:vAlign w:val="bottom"/>
            <w:hideMark/>
          </w:tcPr>
          <w:p w14:paraId="7107E1DB"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Number-Pattern Matching</w:t>
            </w:r>
          </w:p>
        </w:tc>
        <w:tc>
          <w:tcPr>
            <w:tcW w:w="1168" w:type="dxa"/>
            <w:tcBorders>
              <w:top w:val="nil"/>
              <w:left w:val="nil"/>
              <w:bottom w:val="nil"/>
              <w:right w:val="nil"/>
            </w:tcBorders>
            <w:shd w:val="clear" w:color="auto" w:fill="auto"/>
            <w:noWrap/>
            <w:vAlign w:val="bottom"/>
            <w:hideMark/>
          </w:tcPr>
          <w:p w14:paraId="56709428"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NUMPAT</w:t>
            </w:r>
          </w:p>
        </w:tc>
        <w:tc>
          <w:tcPr>
            <w:tcW w:w="1366" w:type="dxa"/>
            <w:tcBorders>
              <w:top w:val="nil"/>
              <w:left w:val="nil"/>
              <w:bottom w:val="nil"/>
              <w:right w:val="nil"/>
            </w:tcBorders>
            <w:shd w:val="clear" w:color="auto" w:fill="auto"/>
            <w:noWrap/>
            <w:vAlign w:val="bottom"/>
            <w:hideMark/>
          </w:tcPr>
          <w:p w14:paraId="37F0974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Gs</w:t>
            </w:r>
          </w:p>
        </w:tc>
        <w:tc>
          <w:tcPr>
            <w:tcW w:w="1240" w:type="dxa"/>
            <w:tcBorders>
              <w:top w:val="nil"/>
              <w:left w:val="nil"/>
              <w:bottom w:val="nil"/>
              <w:right w:val="nil"/>
            </w:tcBorders>
            <w:shd w:val="clear" w:color="auto" w:fill="auto"/>
            <w:noWrap/>
            <w:vAlign w:val="bottom"/>
            <w:hideMark/>
          </w:tcPr>
          <w:p w14:paraId="23E842F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0.17</w:t>
            </w:r>
          </w:p>
        </w:tc>
        <w:tc>
          <w:tcPr>
            <w:tcW w:w="1088" w:type="dxa"/>
            <w:tcBorders>
              <w:top w:val="nil"/>
              <w:left w:val="nil"/>
              <w:bottom w:val="nil"/>
              <w:right w:val="nil"/>
            </w:tcBorders>
            <w:shd w:val="clear" w:color="auto" w:fill="auto"/>
            <w:noWrap/>
            <w:vAlign w:val="bottom"/>
            <w:hideMark/>
          </w:tcPr>
          <w:p w14:paraId="205E55E7"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0.85</w:t>
            </w:r>
          </w:p>
        </w:tc>
        <w:tc>
          <w:tcPr>
            <w:tcW w:w="971" w:type="dxa"/>
            <w:tcBorders>
              <w:top w:val="nil"/>
              <w:left w:val="nil"/>
              <w:bottom w:val="nil"/>
              <w:right w:val="nil"/>
            </w:tcBorders>
            <w:shd w:val="clear" w:color="auto" w:fill="auto"/>
            <w:noWrap/>
            <w:vAlign w:val="bottom"/>
            <w:hideMark/>
          </w:tcPr>
          <w:p w14:paraId="5E1233AA"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0.85</w:t>
            </w:r>
          </w:p>
        </w:tc>
      </w:tr>
      <w:tr w:rsidR="006A1BFA" w:rsidRPr="006A1BFA" w14:paraId="61167652" w14:textId="77777777" w:rsidTr="00975068">
        <w:trPr>
          <w:trHeight w:val="300"/>
        </w:trPr>
        <w:tc>
          <w:tcPr>
            <w:tcW w:w="3060" w:type="dxa"/>
            <w:gridSpan w:val="2"/>
            <w:tcBorders>
              <w:top w:val="nil"/>
              <w:left w:val="nil"/>
              <w:bottom w:val="single" w:sz="4" w:space="0" w:color="auto"/>
              <w:right w:val="nil"/>
            </w:tcBorders>
            <w:shd w:val="clear" w:color="auto" w:fill="auto"/>
            <w:noWrap/>
            <w:vAlign w:val="bottom"/>
            <w:hideMark/>
          </w:tcPr>
          <w:p w14:paraId="065AB752" w14:textId="77777777" w:rsidR="006A1BFA" w:rsidRPr="006A1BFA" w:rsidRDefault="006A1BFA" w:rsidP="006A1BFA">
            <w:pPr>
              <w:spacing w:after="0" w:line="240" w:lineRule="auto"/>
              <w:ind w:firstLineChars="100" w:firstLine="200"/>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Pair Cancellation</w:t>
            </w:r>
          </w:p>
        </w:tc>
        <w:tc>
          <w:tcPr>
            <w:tcW w:w="1168" w:type="dxa"/>
            <w:tcBorders>
              <w:top w:val="nil"/>
              <w:left w:val="nil"/>
              <w:bottom w:val="single" w:sz="4" w:space="0" w:color="auto"/>
              <w:right w:val="nil"/>
            </w:tcBorders>
            <w:shd w:val="clear" w:color="auto" w:fill="auto"/>
            <w:noWrap/>
            <w:vAlign w:val="bottom"/>
            <w:hideMark/>
          </w:tcPr>
          <w:p w14:paraId="6137732B"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PAIRCN</w:t>
            </w:r>
          </w:p>
        </w:tc>
        <w:tc>
          <w:tcPr>
            <w:tcW w:w="1366" w:type="dxa"/>
            <w:tcBorders>
              <w:top w:val="nil"/>
              <w:left w:val="nil"/>
              <w:bottom w:val="single" w:sz="4" w:space="0" w:color="auto"/>
              <w:right w:val="nil"/>
            </w:tcBorders>
            <w:shd w:val="clear" w:color="auto" w:fill="auto"/>
            <w:noWrap/>
            <w:vAlign w:val="bottom"/>
            <w:hideMark/>
          </w:tcPr>
          <w:p w14:paraId="274A232C"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Gs</w:t>
            </w:r>
          </w:p>
        </w:tc>
        <w:tc>
          <w:tcPr>
            <w:tcW w:w="1240" w:type="dxa"/>
            <w:tcBorders>
              <w:top w:val="nil"/>
              <w:left w:val="nil"/>
              <w:bottom w:val="single" w:sz="4" w:space="0" w:color="auto"/>
              <w:right w:val="nil"/>
            </w:tcBorders>
            <w:shd w:val="clear" w:color="auto" w:fill="auto"/>
            <w:noWrap/>
            <w:vAlign w:val="bottom"/>
            <w:hideMark/>
          </w:tcPr>
          <w:p w14:paraId="62340DB3"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0.09</w:t>
            </w:r>
          </w:p>
        </w:tc>
        <w:tc>
          <w:tcPr>
            <w:tcW w:w="1088" w:type="dxa"/>
            <w:tcBorders>
              <w:top w:val="nil"/>
              <w:left w:val="nil"/>
              <w:bottom w:val="single" w:sz="4" w:space="0" w:color="auto"/>
              <w:right w:val="nil"/>
            </w:tcBorders>
            <w:shd w:val="clear" w:color="auto" w:fill="auto"/>
            <w:noWrap/>
            <w:vAlign w:val="bottom"/>
            <w:hideMark/>
          </w:tcPr>
          <w:p w14:paraId="01FE6725"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0.80</w:t>
            </w:r>
          </w:p>
        </w:tc>
        <w:tc>
          <w:tcPr>
            <w:tcW w:w="971" w:type="dxa"/>
            <w:tcBorders>
              <w:top w:val="nil"/>
              <w:left w:val="nil"/>
              <w:bottom w:val="single" w:sz="4" w:space="0" w:color="auto"/>
              <w:right w:val="nil"/>
            </w:tcBorders>
            <w:shd w:val="clear" w:color="auto" w:fill="auto"/>
            <w:noWrap/>
            <w:vAlign w:val="bottom"/>
            <w:hideMark/>
          </w:tcPr>
          <w:p w14:paraId="17C7A520"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r w:rsidRPr="006A1BFA">
              <w:rPr>
                <w:rFonts w:ascii="Palatino Linotype" w:eastAsia="Times New Roman" w:hAnsi="Palatino Linotype" w:cs="Calibri"/>
                <w:color w:val="000000"/>
                <w:sz w:val="20"/>
                <w:szCs w:val="20"/>
              </w:rPr>
              <w:t>0.70</w:t>
            </w:r>
          </w:p>
        </w:tc>
      </w:tr>
      <w:tr w:rsidR="006A1BFA" w:rsidRPr="006A1BFA" w14:paraId="6456E5A6" w14:textId="77777777" w:rsidTr="00975068">
        <w:trPr>
          <w:trHeight w:val="300"/>
        </w:trPr>
        <w:tc>
          <w:tcPr>
            <w:tcW w:w="2840" w:type="dxa"/>
            <w:tcBorders>
              <w:top w:val="nil"/>
              <w:left w:val="nil"/>
              <w:bottom w:val="nil"/>
              <w:right w:val="nil"/>
            </w:tcBorders>
            <w:shd w:val="clear" w:color="auto" w:fill="auto"/>
            <w:noWrap/>
            <w:vAlign w:val="bottom"/>
            <w:hideMark/>
          </w:tcPr>
          <w:p w14:paraId="35C61363" w14:textId="77777777" w:rsidR="006A1BFA" w:rsidRPr="006A1BFA" w:rsidRDefault="006A1BFA" w:rsidP="006A1BFA">
            <w:pPr>
              <w:spacing w:after="0" w:line="240" w:lineRule="auto"/>
              <w:jc w:val="center"/>
              <w:rPr>
                <w:rFonts w:ascii="Palatino Linotype" w:eastAsia="Times New Roman" w:hAnsi="Palatino Linotype" w:cs="Calibri"/>
                <w:color w:val="000000"/>
                <w:sz w:val="20"/>
                <w:szCs w:val="20"/>
              </w:rPr>
            </w:pPr>
          </w:p>
        </w:tc>
        <w:tc>
          <w:tcPr>
            <w:tcW w:w="1388" w:type="dxa"/>
            <w:gridSpan w:val="2"/>
            <w:tcBorders>
              <w:top w:val="nil"/>
              <w:left w:val="nil"/>
              <w:bottom w:val="nil"/>
              <w:right w:val="nil"/>
            </w:tcBorders>
            <w:shd w:val="clear" w:color="auto" w:fill="auto"/>
            <w:noWrap/>
            <w:vAlign w:val="bottom"/>
            <w:hideMark/>
          </w:tcPr>
          <w:p w14:paraId="0AE29083" w14:textId="77777777" w:rsidR="006A1BFA" w:rsidRPr="006A1BFA" w:rsidRDefault="006A1BFA" w:rsidP="006A1BFA">
            <w:pPr>
              <w:spacing w:after="0" w:line="240" w:lineRule="auto"/>
              <w:rPr>
                <w:rFonts w:ascii="Times New Roman" w:eastAsia="Times New Roman" w:hAnsi="Times New Roman" w:cs="Times New Roman"/>
                <w:sz w:val="20"/>
                <w:szCs w:val="20"/>
              </w:rPr>
            </w:pPr>
          </w:p>
        </w:tc>
        <w:tc>
          <w:tcPr>
            <w:tcW w:w="1366" w:type="dxa"/>
            <w:tcBorders>
              <w:top w:val="nil"/>
              <w:left w:val="nil"/>
              <w:bottom w:val="nil"/>
              <w:right w:val="nil"/>
            </w:tcBorders>
            <w:shd w:val="clear" w:color="auto" w:fill="auto"/>
            <w:noWrap/>
            <w:vAlign w:val="bottom"/>
            <w:hideMark/>
          </w:tcPr>
          <w:p w14:paraId="30CEB95F" w14:textId="77777777" w:rsidR="006A1BFA" w:rsidRPr="006A1BFA" w:rsidRDefault="006A1BFA" w:rsidP="006A1BFA">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05AA4BCE" w14:textId="77777777" w:rsidR="006A1BFA" w:rsidRPr="006A1BFA" w:rsidRDefault="006A1BFA" w:rsidP="006A1BFA">
            <w:pPr>
              <w:spacing w:after="0" w:line="240" w:lineRule="auto"/>
              <w:rPr>
                <w:rFonts w:ascii="Times New Roman" w:eastAsia="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14:paraId="712ACC97" w14:textId="77777777" w:rsidR="006A1BFA" w:rsidRPr="006A1BFA" w:rsidRDefault="006A1BFA" w:rsidP="006A1BFA">
            <w:pPr>
              <w:spacing w:after="0" w:line="240" w:lineRule="auto"/>
              <w:rPr>
                <w:rFonts w:ascii="Times New Roman" w:eastAsia="Times New Roman" w:hAnsi="Times New Roman" w:cs="Times New Roman"/>
                <w:sz w:val="20"/>
                <w:szCs w:val="20"/>
              </w:rPr>
            </w:pPr>
          </w:p>
        </w:tc>
        <w:tc>
          <w:tcPr>
            <w:tcW w:w="971" w:type="dxa"/>
            <w:tcBorders>
              <w:top w:val="nil"/>
              <w:left w:val="nil"/>
              <w:bottom w:val="nil"/>
              <w:right w:val="nil"/>
            </w:tcBorders>
            <w:shd w:val="clear" w:color="auto" w:fill="auto"/>
            <w:noWrap/>
            <w:vAlign w:val="bottom"/>
            <w:hideMark/>
          </w:tcPr>
          <w:p w14:paraId="11F7A3E3" w14:textId="77777777" w:rsidR="006A1BFA" w:rsidRPr="006A1BFA" w:rsidRDefault="006A1BFA" w:rsidP="006A1BFA">
            <w:pPr>
              <w:spacing w:after="0" w:line="240" w:lineRule="auto"/>
              <w:rPr>
                <w:rFonts w:ascii="Times New Roman" w:eastAsia="Times New Roman" w:hAnsi="Times New Roman" w:cs="Times New Roman"/>
                <w:sz w:val="20"/>
                <w:szCs w:val="20"/>
              </w:rPr>
            </w:pPr>
          </w:p>
        </w:tc>
      </w:tr>
      <w:tr w:rsidR="006A1BFA" w:rsidRPr="006A1BFA" w14:paraId="5D31CAA7" w14:textId="77777777" w:rsidTr="00975068">
        <w:trPr>
          <w:trHeight w:val="300"/>
        </w:trPr>
        <w:tc>
          <w:tcPr>
            <w:tcW w:w="8893" w:type="dxa"/>
            <w:gridSpan w:val="7"/>
            <w:tcBorders>
              <w:top w:val="nil"/>
              <w:left w:val="nil"/>
              <w:bottom w:val="nil"/>
              <w:right w:val="nil"/>
            </w:tcBorders>
            <w:shd w:val="clear" w:color="auto" w:fill="auto"/>
            <w:noWrap/>
            <w:vAlign w:val="bottom"/>
            <w:hideMark/>
          </w:tcPr>
          <w:p w14:paraId="74B4F542" w14:textId="64208094" w:rsidR="006A1BFA" w:rsidRPr="006A1BFA" w:rsidRDefault="006A1BFA" w:rsidP="006A1BFA">
            <w:pPr>
              <w:spacing w:after="0" w:line="240" w:lineRule="auto"/>
              <w:rPr>
                <w:rFonts w:ascii="Palatino Linotype" w:eastAsia="Times New Roman" w:hAnsi="Palatino Linotype" w:cs="Calibri"/>
                <w:color w:val="000000"/>
                <w:sz w:val="20"/>
                <w:szCs w:val="20"/>
              </w:rPr>
            </w:pPr>
            <w:r w:rsidRPr="006A1BFA">
              <w:rPr>
                <w:rFonts w:ascii="Palatino Linotype" w:eastAsia="Times New Roman" w:hAnsi="Palatino Linotype" w:cs="Calibri"/>
                <w:i/>
                <w:iCs/>
                <w:color w:val="000000"/>
                <w:sz w:val="20"/>
                <w:szCs w:val="20"/>
                <w:u w:val="single"/>
              </w:rPr>
              <w:t>Note</w:t>
            </w:r>
            <w:r w:rsidRPr="006A1BFA">
              <w:rPr>
                <w:rFonts w:ascii="Palatino Linotype" w:eastAsia="Times New Roman" w:hAnsi="Palatino Linotype" w:cs="Calibri"/>
                <w:color w:val="000000"/>
                <w:sz w:val="20"/>
                <w:szCs w:val="20"/>
              </w:rPr>
              <w:t xml:space="preserve">.  Bold font designates </w:t>
            </w:r>
            <w:r w:rsidR="00484792">
              <w:rPr>
                <w:rFonts w:ascii="Palatino Linotype" w:eastAsia="Times New Roman" w:hAnsi="Palatino Linotype" w:cs="Calibri"/>
                <w:color w:val="000000"/>
                <w:sz w:val="20"/>
                <w:szCs w:val="20"/>
              </w:rPr>
              <w:t xml:space="preserve">the </w:t>
            </w:r>
            <w:r w:rsidRPr="006A1BFA">
              <w:rPr>
                <w:rFonts w:ascii="Palatino Linotype" w:eastAsia="Times New Roman" w:hAnsi="Palatino Linotype" w:cs="Calibri"/>
                <w:color w:val="000000"/>
                <w:sz w:val="20"/>
                <w:szCs w:val="20"/>
              </w:rPr>
              <w:t xml:space="preserve">top three (sometimes four) relative </w:t>
            </w:r>
            <w:r w:rsidR="00CE2F4E">
              <w:rPr>
                <w:rFonts w:ascii="Palatino Linotype" w:eastAsia="Times New Roman" w:hAnsi="Palatino Linotype" w:cs="Calibri"/>
                <w:color w:val="000000"/>
                <w:sz w:val="20"/>
                <w:szCs w:val="20"/>
              </w:rPr>
              <w:t>centrality</w:t>
            </w:r>
            <w:r w:rsidR="00CE2F4E" w:rsidRPr="006A1BFA">
              <w:rPr>
                <w:rFonts w:ascii="Palatino Linotype" w:eastAsia="Times New Roman" w:hAnsi="Palatino Linotype" w:cs="Calibri"/>
                <w:color w:val="000000"/>
                <w:sz w:val="20"/>
                <w:szCs w:val="20"/>
              </w:rPr>
              <w:t xml:space="preserve"> </w:t>
            </w:r>
            <w:r w:rsidRPr="006A1BFA">
              <w:rPr>
                <w:rFonts w:ascii="Palatino Linotype" w:eastAsia="Times New Roman" w:hAnsi="Palatino Linotype" w:cs="Calibri"/>
                <w:color w:val="000000"/>
                <w:sz w:val="20"/>
                <w:szCs w:val="20"/>
              </w:rPr>
              <w:t>values in each</w:t>
            </w:r>
            <w:r w:rsidR="00CE2F4E">
              <w:rPr>
                <w:rFonts w:ascii="Palatino Linotype" w:eastAsia="Times New Roman" w:hAnsi="Palatino Linotype" w:cs="Calibri"/>
                <w:color w:val="000000"/>
                <w:sz w:val="20"/>
                <w:szCs w:val="20"/>
              </w:rPr>
              <w:t xml:space="preserve"> column</w:t>
            </w:r>
            <w:r w:rsidRPr="006A1BFA">
              <w:rPr>
                <w:rFonts w:ascii="Palatino Linotype" w:eastAsia="Times New Roman" w:hAnsi="Palatino Linotype" w:cs="Calibri"/>
                <w:color w:val="000000"/>
                <w:sz w:val="20"/>
                <w:szCs w:val="20"/>
              </w:rPr>
              <w:t xml:space="preserve">.  </w:t>
            </w:r>
          </w:p>
        </w:tc>
      </w:tr>
    </w:tbl>
    <w:p w14:paraId="4C908476" w14:textId="77777777" w:rsidR="006A1BFA" w:rsidRPr="006A1BFA" w:rsidRDefault="006A1BFA" w:rsidP="008F0600">
      <w:pPr>
        <w:spacing w:after="240" w:line="360" w:lineRule="auto"/>
        <w:rPr>
          <w:rFonts w:ascii="Palatino Linotype" w:hAnsi="Palatino Linotype"/>
        </w:rPr>
      </w:pPr>
    </w:p>
    <w:sectPr w:rsidR="006A1BFA" w:rsidRPr="006A1BFA">
      <w:footerReference w:type="even" r:id="rId13"/>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49C796" w14:textId="77777777" w:rsidR="006841F6" w:rsidRDefault="006841F6" w:rsidP="003F3CB8">
      <w:pPr>
        <w:spacing w:after="0" w:line="240" w:lineRule="auto"/>
      </w:pPr>
      <w:r>
        <w:separator/>
      </w:r>
    </w:p>
  </w:endnote>
  <w:endnote w:type="continuationSeparator" w:id="0">
    <w:p w14:paraId="0AB2CEE9" w14:textId="77777777" w:rsidR="006841F6" w:rsidRDefault="006841F6" w:rsidP="003F3C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39325835"/>
      <w:docPartObj>
        <w:docPartGallery w:val="Page Numbers (Bottom of Page)"/>
        <w:docPartUnique/>
      </w:docPartObj>
    </w:sdtPr>
    <w:sdtContent>
      <w:p w14:paraId="5CE86F3D" w14:textId="2AD7C509" w:rsidR="0069106B" w:rsidRDefault="0069106B" w:rsidP="00186CF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FC6C986" w14:textId="77777777" w:rsidR="0069106B" w:rsidRDefault="0069106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Palatino Linotype" w:hAnsi="Palatino Linotype"/>
      </w:rPr>
      <w:id w:val="1274678589"/>
      <w:docPartObj>
        <w:docPartGallery w:val="Page Numbers (Bottom of Page)"/>
        <w:docPartUnique/>
      </w:docPartObj>
    </w:sdtPr>
    <w:sdtContent>
      <w:p w14:paraId="17F31F78" w14:textId="3F58F95F" w:rsidR="0069106B" w:rsidRPr="00DA5EAF" w:rsidRDefault="0069106B" w:rsidP="00186CF2">
        <w:pPr>
          <w:pStyle w:val="Footer"/>
          <w:framePr w:wrap="none" w:vAnchor="text" w:hAnchor="margin" w:xAlign="center" w:y="1"/>
          <w:rPr>
            <w:rStyle w:val="PageNumber"/>
            <w:rFonts w:ascii="Palatino Linotype" w:hAnsi="Palatino Linotype"/>
          </w:rPr>
        </w:pPr>
        <w:r w:rsidRPr="00DA5EAF">
          <w:rPr>
            <w:rStyle w:val="PageNumber"/>
            <w:rFonts w:ascii="Palatino Linotype" w:hAnsi="Palatino Linotype"/>
          </w:rPr>
          <w:fldChar w:fldCharType="begin"/>
        </w:r>
        <w:r w:rsidRPr="00DA5EAF">
          <w:rPr>
            <w:rStyle w:val="PageNumber"/>
            <w:rFonts w:ascii="Palatino Linotype" w:hAnsi="Palatino Linotype"/>
          </w:rPr>
          <w:instrText xml:space="preserve"> PAGE </w:instrText>
        </w:r>
        <w:r w:rsidRPr="00DA5EAF">
          <w:rPr>
            <w:rStyle w:val="PageNumber"/>
            <w:rFonts w:ascii="Palatino Linotype" w:hAnsi="Palatino Linotype"/>
          </w:rPr>
          <w:fldChar w:fldCharType="separate"/>
        </w:r>
        <w:r w:rsidRPr="00DA5EAF">
          <w:rPr>
            <w:rStyle w:val="PageNumber"/>
            <w:rFonts w:ascii="Palatino Linotype" w:hAnsi="Palatino Linotype"/>
            <w:noProof/>
          </w:rPr>
          <w:t>1</w:t>
        </w:r>
        <w:r w:rsidRPr="00DA5EAF">
          <w:rPr>
            <w:rStyle w:val="PageNumber"/>
            <w:rFonts w:ascii="Palatino Linotype" w:hAnsi="Palatino Linotype"/>
          </w:rPr>
          <w:fldChar w:fldCharType="end"/>
        </w:r>
      </w:p>
    </w:sdtContent>
  </w:sdt>
  <w:p w14:paraId="3465B831" w14:textId="77777777" w:rsidR="0069106B" w:rsidRDefault="006910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CFB0CA" w14:textId="77777777" w:rsidR="006841F6" w:rsidRDefault="006841F6" w:rsidP="003F3CB8">
      <w:pPr>
        <w:spacing w:after="0" w:line="240" w:lineRule="auto"/>
      </w:pPr>
      <w:r>
        <w:separator/>
      </w:r>
    </w:p>
  </w:footnote>
  <w:footnote w:type="continuationSeparator" w:id="0">
    <w:p w14:paraId="5504BEC5" w14:textId="77777777" w:rsidR="006841F6" w:rsidRDefault="006841F6" w:rsidP="003F3CB8">
      <w:pPr>
        <w:spacing w:after="0" w:line="240" w:lineRule="auto"/>
      </w:pPr>
      <w:r>
        <w:continuationSeparator/>
      </w:r>
    </w:p>
  </w:footnote>
  <w:footnote w:id="1">
    <w:p w14:paraId="492BB5F8" w14:textId="5AAACB12" w:rsidR="003F3CB8" w:rsidRPr="005E41B1" w:rsidRDefault="003F3CB8" w:rsidP="003F3CB8">
      <w:pPr>
        <w:pStyle w:val="FootnoteText"/>
        <w:rPr>
          <w:rFonts w:ascii="Palatino Linotype" w:hAnsi="Palatino Linotype"/>
        </w:rPr>
      </w:pPr>
      <w:r>
        <w:rPr>
          <w:rStyle w:val="FootnoteReference"/>
        </w:rPr>
        <w:footnoteRef/>
      </w:r>
      <w:r>
        <w:t xml:space="preserve"> </w:t>
      </w:r>
      <w:r w:rsidRPr="003F3CB8">
        <w:rPr>
          <w:rFonts w:ascii="Palatino Linotype" w:hAnsi="Palatino Linotype"/>
        </w:rPr>
        <w:t>Most psycho-educational test batteries refer to the individual measures in the battery as subtests or tests</w:t>
      </w:r>
      <w:proofErr w:type="gramStart"/>
      <w:r w:rsidR="00053BA0">
        <w:rPr>
          <w:rFonts w:ascii="Palatino Linotype" w:hAnsi="Palatino Linotype"/>
        </w:rPr>
        <w:t xml:space="preserve">. </w:t>
      </w:r>
      <w:proofErr w:type="gramEnd"/>
      <w:r w:rsidRPr="003F3CB8">
        <w:rPr>
          <w:rFonts w:ascii="Palatino Linotype" w:hAnsi="Palatino Linotype"/>
        </w:rPr>
        <w:t xml:space="preserve">In the WJ IV battery, some tests are comprised of two or more “subtests,” which are, in effect, brief </w:t>
      </w:r>
      <w:proofErr w:type="gramStart"/>
      <w:r w:rsidRPr="003F3CB8">
        <w:rPr>
          <w:rFonts w:ascii="Palatino Linotype" w:hAnsi="Palatino Linotype"/>
        </w:rPr>
        <w:t>mini-tests</w:t>
      </w:r>
      <w:proofErr w:type="gramEnd"/>
      <w:r w:rsidRPr="003F3CB8">
        <w:rPr>
          <w:rFonts w:ascii="Palatino Linotype" w:hAnsi="Palatino Linotype"/>
        </w:rPr>
        <w:t xml:space="preserve"> that do not produce individual standardized scores</w:t>
      </w:r>
      <w:r w:rsidR="00053BA0">
        <w:rPr>
          <w:rFonts w:ascii="Palatino Linotype" w:hAnsi="Palatino Linotype"/>
        </w:rPr>
        <w:t xml:space="preserve">. </w:t>
      </w:r>
      <w:r w:rsidRPr="003F3CB8">
        <w:rPr>
          <w:rFonts w:ascii="Palatino Linotype" w:hAnsi="Palatino Linotype"/>
        </w:rPr>
        <w:t>For example, the COG General Information test is comprised of the separate General Information-What and General Information-Where subtests</w:t>
      </w:r>
      <w:proofErr w:type="gramStart"/>
      <w:r w:rsidR="00053BA0">
        <w:rPr>
          <w:rFonts w:ascii="Palatino Linotype" w:hAnsi="Palatino Linotype"/>
        </w:rPr>
        <w:t xml:space="preserve">. </w:t>
      </w:r>
      <w:proofErr w:type="gramEnd"/>
      <w:r w:rsidRPr="003F3CB8">
        <w:rPr>
          <w:rFonts w:ascii="Palatino Linotype" w:hAnsi="Palatino Linotype"/>
        </w:rPr>
        <w:t>The OL language tests are measures of Ga, Gwm, Gc, and Gs cognitive domains in CHC theory (see McGrew et al., 2014)</w:t>
      </w:r>
      <w:proofErr w:type="gramStart"/>
      <w:r w:rsidR="00053BA0">
        <w:rPr>
          <w:rFonts w:ascii="Palatino Linotype" w:hAnsi="Palatino Linotype"/>
        </w:rPr>
        <w:t xml:space="preserve">. </w:t>
      </w:r>
      <w:proofErr w:type="gramEnd"/>
      <w:r w:rsidRPr="003F3CB8">
        <w:rPr>
          <w:rFonts w:ascii="Palatino Linotype" w:hAnsi="Palatino Linotype"/>
        </w:rPr>
        <w:t>Except for two math achievement tests (Calculation and Applied Problems) included in a second supplementary sensitivity analysis, tests were not selected from the WJ IV Tests of Achievement (ACH)</w:t>
      </w:r>
      <w:proofErr w:type="gramStart"/>
      <w:r w:rsidR="00053BA0">
        <w:rPr>
          <w:rFonts w:ascii="Palatino Linotype" w:hAnsi="Palatino Linotype"/>
        </w:rPr>
        <w:t xml:space="preserve">. </w:t>
      </w:r>
      <w:proofErr w:type="gramEnd"/>
      <w:r w:rsidRPr="003F3CB8">
        <w:rPr>
          <w:rFonts w:ascii="Palatino Linotype" w:hAnsi="Palatino Linotype"/>
        </w:rPr>
        <w:t>One test (Verbal Analogies) from the age-limited 10 test co-normed WJ IV Early Cognitive and Academic Development (WJ IV ECAD; Schrank</w:t>
      </w:r>
      <w:r w:rsidR="008073ED">
        <w:rPr>
          <w:rFonts w:ascii="Palatino Linotype" w:hAnsi="Palatino Linotype"/>
        </w:rPr>
        <w:t xml:space="preserve"> et al.</w:t>
      </w:r>
      <w:r w:rsidRPr="003F3CB8">
        <w:rPr>
          <w:rFonts w:ascii="Palatino Linotype" w:hAnsi="Palatino Linotype"/>
        </w:rPr>
        <w:t>, 2015) battery was also used</w:t>
      </w:r>
      <w:proofErr w:type="gramStart"/>
      <w:r w:rsidR="00053BA0">
        <w:rPr>
          <w:rFonts w:ascii="Palatino Linotype" w:hAnsi="Palatino Linotype"/>
        </w:rPr>
        <w:t xml:space="preserve">. </w:t>
      </w:r>
      <w:proofErr w:type="gramEnd"/>
      <w:r w:rsidRPr="003F3CB8">
        <w:rPr>
          <w:rFonts w:ascii="Palatino Linotype" w:hAnsi="Palatino Linotype"/>
        </w:rPr>
        <w:t xml:space="preserve">Although the ECAD is focused on preschool and early school years (2 </w:t>
      </w:r>
      <w:r w:rsidR="008073ED">
        <w:rPr>
          <w:rFonts w:ascii="Palatino Linotype" w:hAnsi="Palatino Linotype"/>
        </w:rPr>
        <w:t>t</w:t>
      </w:r>
      <w:r w:rsidRPr="003F3CB8">
        <w:rPr>
          <w:rFonts w:ascii="Palatino Linotype" w:hAnsi="Palatino Linotype"/>
        </w:rPr>
        <w:t>hrough 7 years of age), norm data was gathered for all 10 ECAD tests through late adulthood as per the WJ IV (McGrew et al., 2014)</w:t>
      </w:r>
      <w:proofErr w:type="gramStart"/>
      <w:r w:rsidR="00053BA0">
        <w:rPr>
          <w:rFonts w:ascii="Palatino Linotype" w:hAnsi="Palatino Linotype"/>
        </w:rPr>
        <w:t xml:space="preserve">. </w:t>
      </w:r>
      <w:proofErr w:type="gramEnd"/>
      <w:r w:rsidRPr="003F3CB8">
        <w:rPr>
          <w:rFonts w:ascii="Palatino Linotype" w:hAnsi="Palatino Linotype"/>
        </w:rPr>
        <w:t xml:space="preserve">The complete age-range Verbal Analogies </w:t>
      </w:r>
      <w:r w:rsidR="00136AC1">
        <w:rPr>
          <w:rFonts w:ascii="Palatino Linotype" w:hAnsi="Palatino Linotype"/>
        </w:rPr>
        <w:t>tes</w:t>
      </w:r>
      <w:r w:rsidR="00DA7856">
        <w:rPr>
          <w:rFonts w:ascii="Palatino Linotype" w:hAnsi="Palatino Linotype"/>
        </w:rPr>
        <w:t xml:space="preserve">t </w:t>
      </w:r>
      <w:r w:rsidRPr="003F3CB8">
        <w:rPr>
          <w:rFonts w:ascii="Palatino Linotype" w:hAnsi="Palatino Linotype"/>
        </w:rPr>
        <w:t>was used given the historical prominence of verbal analogies tests in intelligence research and its factorially complex loading on the two most important CHC broad abilities</w:t>
      </w:r>
      <w:r w:rsidR="00DA7856">
        <w:rPr>
          <w:rFonts w:ascii="Palatino Linotype" w:hAnsi="Palatino Linotype"/>
        </w:rPr>
        <w:t>—Gf</w:t>
      </w:r>
      <w:r w:rsidRPr="003F3CB8">
        <w:rPr>
          <w:rFonts w:ascii="Palatino Linotype" w:hAnsi="Palatino Linotype"/>
        </w:rPr>
        <w:t xml:space="preserve"> and Gc</w:t>
      </w:r>
      <w:r w:rsidR="00053BA0">
        <w:rPr>
          <w:rFonts w:ascii="Palatino Linotype" w:hAnsi="Palatino Linotype"/>
        </w:rPr>
        <w:t xml:space="preserve">. </w:t>
      </w:r>
    </w:p>
  </w:footnote>
  <w:footnote w:id="2">
    <w:p w14:paraId="2CF0C65C" w14:textId="77777777" w:rsidR="003F3CB8" w:rsidRPr="00051867" w:rsidRDefault="003F3CB8" w:rsidP="003F3CB8">
      <w:pPr>
        <w:pStyle w:val="FootnoteText"/>
        <w:rPr>
          <w:rFonts w:ascii="Palatino Linotype" w:hAnsi="Palatino Linotype"/>
        </w:rPr>
      </w:pPr>
      <w:r w:rsidRPr="00051867">
        <w:rPr>
          <w:rStyle w:val="FootnoteReference"/>
          <w:rFonts w:ascii="Palatino Linotype" w:hAnsi="Palatino Linotype"/>
        </w:rPr>
        <w:footnoteRef/>
      </w:r>
      <w:r w:rsidRPr="00051867">
        <w:rPr>
          <w:rFonts w:ascii="Palatino Linotype" w:hAnsi="Palatino Linotype"/>
        </w:rPr>
        <w:t xml:space="preserve"> To reduce confusion, hereafter </w:t>
      </w:r>
      <w:r>
        <w:rPr>
          <w:rFonts w:ascii="Palatino Linotype" w:hAnsi="Palatino Linotype"/>
        </w:rPr>
        <w:t xml:space="preserve">the individual </w:t>
      </w:r>
      <w:r w:rsidRPr="00051867">
        <w:rPr>
          <w:rFonts w:ascii="Palatino Linotype" w:hAnsi="Palatino Linotype"/>
        </w:rPr>
        <w:t>tests and subtests are called measures.</w:t>
      </w:r>
    </w:p>
  </w:footnote>
  <w:footnote w:id="3">
    <w:p w14:paraId="2BF6740A" w14:textId="47699B84" w:rsidR="003F3CB8" w:rsidRPr="00941A93" w:rsidRDefault="003F3CB8" w:rsidP="003F3CB8">
      <w:pPr>
        <w:pStyle w:val="FootnoteText"/>
        <w:rPr>
          <w:rFonts w:ascii="Palatino Linotype" w:hAnsi="Palatino Linotype"/>
        </w:rPr>
      </w:pPr>
      <w:r w:rsidRPr="00941A93">
        <w:rPr>
          <w:rStyle w:val="FootnoteReference"/>
          <w:rFonts w:ascii="Palatino Linotype" w:hAnsi="Palatino Linotype"/>
        </w:rPr>
        <w:footnoteRef/>
      </w:r>
      <w:r w:rsidRPr="00941A93">
        <w:rPr>
          <w:rFonts w:ascii="Palatino Linotype" w:hAnsi="Palatino Linotype"/>
        </w:rPr>
        <w:t xml:space="preserve"> As per the online</w:t>
      </w:r>
      <w:r w:rsidRPr="00941A93">
        <w:rPr>
          <w:rFonts w:ascii="Palatino Linotype" w:hAnsi="Palatino Linotype"/>
          <w:i/>
          <w:iCs/>
        </w:rPr>
        <w:t xml:space="preserve"> APA Dictionary of Psychology</w:t>
      </w:r>
      <w:r w:rsidRPr="00941A93">
        <w:rPr>
          <w:rFonts w:ascii="Palatino Linotype" w:hAnsi="Palatino Linotype"/>
        </w:rPr>
        <w:t xml:space="preserve">, sensitivity analysis is “an evaluation of the extent to which the overall outcome of a model or system will be affected by potential changes to the input” </w:t>
      </w:r>
      <w:hyperlink r:id="rId1" w:history="1">
        <w:r w:rsidRPr="00316F4C">
          <w:rPr>
            <w:rStyle w:val="Hyperlink"/>
            <w:rFonts w:ascii="Palatino Linotype" w:hAnsi="Palatino Linotype"/>
          </w:rPr>
          <w:t>https://dictionary.apa.org/sensitivity-analysis</w:t>
        </w:r>
      </w:hyperlink>
      <w:r w:rsidR="00053BA0">
        <w:rPr>
          <w:rFonts w:ascii="Palatino Linotype" w:hAnsi="Palatino Linotype"/>
        </w:rPr>
        <w:t xml:space="preserve">. </w:t>
      </w:r>
      <w:r>
        <w:rPr>
          <w:rFonts w:ascii="Palatino Linotype" w:hAnsi="Palatino Linotype"/>
        </w:rPr>
        <w:t>Retrieved 10-27-21.</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7E74"/>
    <w:rsid w:val="00002E06"/>
    <w:rsid w:val="00017457"/>
    <w:rsid w:val="0002200B"/>
    <w:rsid w:val="00025BAE"/>
    <w:rsid w:val="00041BDD"/>
    <w:rsid w:val="0004442E"/>
    <w:rsid w:val="00053BA0"/>
    <w:rsid w:val="00054FAB"/>
    <w:rsid w:val="0006378E"/>
    <w:rsid w:val="00072457"/>
    <w:rsid w:val="00083E05"/>
    <w:rsid w:val="000A15FD"/>
    <w:rsid w:val="000A7CF8"/>
    <w:rsid w:val="000C4E56"/>
    <w:rsid w:val="000D47F5"/>
    <w:rsid w:val="000D4C88"/>
    <w:rsid w:val="000D52BB"/>
    <w:rsid w:val="000F4D57"/>
    <w:rsid w:val="000F6FE9"/>
    <w:rsid w:val="000F7D3B"/>
    <w:rsid w:val="00103383"/>
    <w:rsid w:val="001035B7"/>
    <w:rsid w:val="00114B89"/>
    <w:rsid w:val="00135877"/>
    <w:rsid w:val="00136AC1"/>
    <w:rsid w:val="00142750"/>
    <w:rsid w:val="00145519"/>
    <w:rsid w:val="001509AF"/>
    <w:rsid w:val="00155280"/>
    <w:rsid w:val="00160437"/>
    <w:rsid w:val="0016423A"/>
    <w:rsid w:val="0017780E"/>
    <w:rsid w:val="00187EC5"/>
    <w:rsid w:val="00192A30"/>
    <w:rsid w:val="00196466"/>
    <w:rsid w:val="001B552E"/>
    <w:rsid w:val="001B6F53"/>
    <w:rsid w:val="001C2426"/>
    <w:rsid w:val="001D2202"/>
    <w:rsid w:val="001D7A76"/>
    <w:rsid w:val="001E1FC8"/>
    <w:rsid w:val="001E4D2E"/>
    <w:rsid w:val="001E7E23"/>
    <w:rsid w:val="001F6ED3"/>
    <w:rsid w:val="0020095C"/>
    <w:rsid w:val="00220367"/>
    <w:rsid w:val="0022299A"/>
    <w:rsid w:val="002239DC"/>
    <w:rsid w:val="00257262"/>
    <w:rsid w:val="002631F7"/>
    <w:rsid w:val="00263EB6"/>
    <w:rsid w:val="00267CAB"/>
    <w:rsid w:val="00267E60"/>
    <w:rsid w:val="00270F54"/>
    <w:rsid w:val="00294AF9"/>
    <w:rsid w:val="00295F18"/>
    <w:rsid w:val="002B0CD6"/>
    <w:rsid w:val="002B7308"/>
    <w:rsid w:val="002C7E18"/>
    <w:rsid w:val="002D3B86"/>
    <w:rsid w:val="002D6DF3"/>
    <w:rsid w:val="002E3FEF"/>
    <w:rsid w:val="002E6476"/>
    <w:rsid w:val="002F6A63"/>
    <w:rsid w:val="003019AD"/>
    <w:rsid w:val="0030494A"/>
    <w:rsid w:val="0032736D"/>
    <w:rsid w:val="00336FD7"/>
    <w:rsid w:val="003506F7"/>
    <w:rsid w:val="00357605"/>
    <w:rsid w:val="00357D60"/>
    <w:rsid w:val="00370A3C"/>
    <w:rsid w:val="003765D2"/>
    <w:rsid w:val="00376B9E"/>
    <w:rsid w:val="00383123"/>
    <w:rsid w:val="00385652"/>
    <w:rsid w:val="003901EE"/>
    <w:rsid w:val="00396810"/>
    <w:rsid w:val="003A2872"/>
    <w:rsid w:val="003C2977"/>
    <w:rsid w:val="003D3689"/>
    <w:rsid w:val="003D3F7C"/>
    <w:rsid w:val="003E3617"/>
    <w:rsid w:val="003E71CF"/>
    <w:rsid w:val="003F022E"/>
    <w:rsid w:val="003F2C8F"/>
    <w:rsid w:val="003F3CB8"/>
    <w:rsid w:val="004034D4"/>
    <w:rsid w:val="00405E93"/>
    <w:rsid w:val="004230FA"/>
    <w:rsid w:val="004318A9"/>
    <w:rsid w:val="00465DC1"/>
    <w:rsid w:val="0046645C"/>
    <w:rsid w:val="004737D5"/>
    <w:rsid w:val="00484792"/>
    <w:rsid w:val="004848C6"/>
    <w:rsid w:val="00485123"/>
    <w:rsid w:val="00494FC3"/>
    <w:rsid w:val="004A54D1"/>
    <w:rsid w:val="004A65D2"/>
    <w:rsid w:val="004C2AB4"/>
    <w:rsid w:val="004D6345"/>
    <w:rsid w:val="004E0262"/>
    <w:rsid w:val="004E7F31"/>
    <w:rsid w:val="00501082"/>
    <w:rsid w:val="00504196"/>
    <w:rsid w:val="00506CA1"/>
    <w:rsid w:val="0051737B"/>
    <w:rsid w:val="00533A2C"/>
    <w:rsid w:val="00535703"/>
    <w:rsid w:val="005438C5"/>
    <w:rsid w:val="00552C13"/>
    <w:rsid w:val="00552EC9"/>
    <w:rsid w:val="00552FFF"/>
    <w:rsid w:val="00564DEB"/>
    <w:rsid w:val="00573E43"/>
    <w:rsid w:val="005906D0"/>
    <w:rsid w:val="00590EDD"/>
    <w:rsid w:val="005A7B9F"/>
    <w:rsid w:val="005C3B12"/>
    <w:rsid w:val="005D00AE"/>
    <w:rsid w:val="005D1BC2"/>
    <w:rsid w:val="005E338C"/>
    <w:rsid w:val="005F50C6"/>
    <w:rsid w:val="00610EAE"/>
    <w:rsid w:val="006440F4"/>
    <w:rsid w:val="00644F32"/>
    <w:rsid w:val="0065104D"/>
    <w:rsid w:val="0066233E"/>
    <w:rsid w:val="006671CD"/>
    <w:rsid w:val="006714C9"/>
    <w:rsid w:val="0067194F"/>
    <w:rsid w:val="00672059"/>
    <w:rsid w:val="00681148"/>
    <w:rsid w:val="006841F6"/>
    <w:rsid w:val="0069106B"/>
    <w:rsid w:val="00695CF7"/>
    <w:rsid w:val="006971BF"/>
    <w:rsid w:val="006A1BFA"/>
    <w:rsid w:val="006A29FC"/>
    <w:rsid w:val="006A46EF"/>
    <w:rsid w:val="006B07FD"/>
    <w:rsid w:val="006B420B"/>
    <w:rsid w:val="006C6166"/>
    <w:rsid w:val="006D4402"/>
    <w:rsid w:val="006E5120"/>
    <w:rsid w:val="006E72BB"/>
    <w:rsid w:val="006F003D"/>
    <w:rsid w:val="00705394"/>
    <w:rsid w:val="00713D69"/>
    <w:rsid w:val="00726064"/>
    <w:rsid w:val="007544A2"/>
    <w:rsid w:val="007604B8"/>
    <w:rsid w:val="00761C53"/>
    <w:rsid w:val="0076577E"/>
    <w:rsid w:val="00766C45"/>
    <w:rsid w:val="00770A5F"/>
    <w:rsid w:val="00773037"/>
    <w:rsid w:val="0078119A"/>
    <w:rsid w:val="007828BB"/>
    <w:rsid w:val="00782B98"/>
    <w:rsid w:val="00782EAC"/>
    <w:rsid w:val="00795339"/>
    <w:rsid w:val="00796740"/>
    <w:rsid w:val="007B0F2A"/>
    <w:rsid w:val="007B3441"/>
    <w:rsid w:val="007D29D6"/>
    <w:rsid w:val="007D59CE"/>
    <w:rsid w:val="007E70F6"/>
    <w:rsid w:val="00802DBF"/>
    <w:rsid w:val="008042B7"/>
    <w:rsid w:val="008073ED"/>
    <w:rsid w:val="008074DE"/>
    <w:rsid w:val="008131D3"/>
    <w:rsid w:val="0081527A"/>
    <w:rsid w:val="0086473A"/>
    <w:rsid w:val="0088054E"/>
    <w:rsid w:val="00886A16"/>
    <w:rsid w:val="00887094"/>
    <w:rsid w:val="008C59B1"/>
    <w:rsid w:val="008D6426"/>
    <w:rsid w:val="008E1772"/>
    <w:rsid w:val="008F0600"/>
    <w:rsid w:val="00910594"/>
    <w:rsid w:val="00911644"/>
    <w:rsid w:val="00925AB0"/>
    <w:rsid w:val="00932519"/>
    <w:rsid w:val="00944510"/>
    <w:rsid w:val="0095025A"/>
    <w:rsid w:val="00966DE1"/>
    <w:rsid w:val="009748A4"/>
    <w:rsid w:val="00975068"/>
    <w:rsid w:val="00975EF3"/>
    <w:rsid w:val="0097789D"/>
    <w:rsid w:val="009823C1"/>
    <w:rsid w:val="009864BE"/>
    <w:rsid w:val="00993557"/>
    <w:rsid w:val="009A22C5"/>
    <w:rsid w:val="009A305F"/>
    <w:rsid w:val="009A6AEA"/>
    <w:rsid w:val="009B4351"/>
    <w:rsid w:val="009B5399"/>
    <w:rsid w:val="009B570B"/>
    <w:rsid w:val="009C7171"/>
    <w:rsid w:val="009D6011"/>
    <w:rsid w:val="009E1BA3"/>
    <w:rsid w:val="00A00A90"/>
    <w:rsid w:val="00A0258B"/>
    <w:rsid w:val="00A047A8"/>
    <w:rsid w:val="00A04E67"/>
    <w:rsid w:val="00A21E41"/>
    <w:rsid w:val="00A242BD"/>
    <w:rsid w:val="00A37503"/>
    <w:rsid w:val="00A43C1A"/>
    <w:rsid w:val="00A4538B"/>
    <w:rsid w:val="00A53832"/>
    <w:rsid w:val="00A63BF5"/>
    <w:rsid w:val="00A643CF"/>
    <w:rsid w:val="00A72AD1"/>
    <w:rsid w:val="00A769AE"/>
    <w:rsid w:val="00A76BF3"/>
    <w:rsid w:val="00A813AD"/>
    <w:rsid w:val="00AB1800"/>
    <w:rsid w:val="00AB4147"/>
    <w:rsid w:val="00AC54BA"/>
    <w:rsid w:val="00AD6281"/>
    <w:rsid w:val="00AE1BE5"/>
    <w:rsid w:val="00AE509A"/>
    <w:rsid w:val="00AE625F"/>
    <w:rsid w:val="00B0108F"/>
    <w:rsid w:val="00B02999"/>
    <w:rsid w:val="00B03452"/>
    <w:rsid w:val="00B05A8E"/>
    <w:rsid w:val="00B12784"/>
    <w:rsid w:val="00B12B64"/>
    <w:rsid w:val="00B17813"/>
    <w:rsid w:val="00B2514A"/>
    <w:rsid w:val="00B3112C"/>
    <w:rsid w:val="00B4272A"/>
    <w:rsid w:val="00B42AD4"/>
    <w:rsid w:val="00B53D2C"/>
    <w:rsid w:val="00B64F7C"/>
    <w:rsid w:val="00B66997"/>
    <w:rsid w:val="00B71D59"/>
    <w:rsid w:val="00B8284F"/>
    <w:rsid w:val="00B82D58"/>
    <w:rsid w:val="00BA3374"/>
    <w:rsid w:val="00BD1398"/>
    <w:rsid w:val="00BF3EEC"/>
    <w:rsid w:val="00BF7D3C"/>
    <w:rsid w:val="00C02BE1"/>
    <w:rsid w:val="00C31AC7"/>
    <w:rsid w:val="00C45FC6"/>
    <w:rsid w:val="00C5199E"/>
    <w:rsid w:val="00C52F5D"/>
    <w:rsid w:val="00C53613"/>
    <w:rsid w:val="00C55637"/>
    <w:rsid w:val="00C556EF"/>
    <w:rsid w:val="00C56A14"/>
    <w:rsid w:val="00C56B42"/>
    <w:rsid w:val="00C60E0E"/>
    <w:rsid w:val="00C6288F"/>
    <w:rsid w:val="00C76157"/>
    <w:rsid w:val="00C832F3"/>
    <w:rsid w:val="00C902A6"/>
    <w:rsid w:val="00C97EC3"/>
    <w:rsid w:val="00CB4799"/>
    <w:rsid w:val="00CC195A"/>
    <w:rsid w:val="00CC1B02"/>
    <w:rsid w:val="00CC4135"/>
    <w:rsid w:val="00CD5491"/>
    <w:rsid w:val="00CD6E31"/>
    <w:rsid w:val="00CE2F4E"/>
    <w:rsid w:val="00CE611F"/>
    <w:rsid w:val="00CF2CF3"/>
    <w:rsid w:val="00CF339E"/>
    <w:rsid w:val="00CF3823"/>
    <w:rsid w:val="00D0317B"/>
    <w:rsid w:val="00D041DD"/>
    <w:rsid w:val="00D13699"/>
    <w:rsid w:val="00D25AAE"/>
    <w:rsid w:val="00D32D80"/>
    <w:rsid w:val="00D40416"/>
    <w:rsid w:val="00D4391A"/>
    <w:rsid w:val="00D47A5F"/>
    <w:rsid w:val="00D52545"/>
    <w:rsid w:val="00D769C1"/>
    <w:rsid w:val="00D85446"/>
    <w:rsid w:val="00DA5EAF"/>
    <w:rsid w:val="00DA7856"/>
    <w:rsid w:val="00DB197B"/>
    <w:rsid w:val="00DB2998"/>
    <w:rsid w:val="00DD0FDF"/>
    <w:rsid w:val="00DE699C"/>
    <w:rsid w:val="00DF648C"/>
    <w:rsid w:val="00E04E23"/>
    <w:rsid w:val="00E1588F"/>
    <w:rsid w:val="00E31026"/>
    <w:rsid w:val="00E670DA"/>
    <w:rsid w:val="00E74AFD"/>
    <w:rsid w:val="00E75C9E"/>
    <w:rsid w:val="00E77B89"/>
    <w:rsid w:val="00E9536B"/>
    <w:rsid w:val="00EB2511"/>
    <w:rsid w:val="00EB598E"/>
    <w:rsid w:val="00EB77E1"/>
    <w:rsid w:val="00EC57D3"/>
    <w:rsid w:val="00EC7FB0"/>
    <w:rsid w:val="00EF2723"/>
    <w:rsid w:val="00F051ED"/>
    <w:rsid w:val="00F146BE"/>
    <w:rsid w:val="00F176B4"/>
    <w:rsid w:val="00F329CD"/>
    <w:rsid w:val="00F40B81"/>
    <w:rsid w:val="00F56F3C"/>
    <w:rsid w:val="00F63BE8"/>
    <w:rsid w:val="00F704E9"/>
    <w:rsid w:val="00F72B8C"/>
    <w:rsid w:val="00F77E74"/>
    <w:rsid w:val="00F77F01"/>
    <w:rsid w:val="00F83244"/>
    <w:rsid w:val="00F87A09"/>
    <w:rsid w:val="00F93F38"/>
    <w:rsid w:val="00FA0898"/>
    <w:rsid w:val="00FA1682"/>
    <w:rsid w:val="00FA1ABB"/>
    <w:rsid w:val="00FD0F92"/>
    <w:rsid w:val="00FD378B"/>
    <w:rsid w:val="00FE457F"/>
    <w:rsid w:val="00FF56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1876BF"/>
  <w15:chartTrackingRefBased/>
  <w15:docId w15:val="{0AA05CCE-D79A-460B-9A8A-028BED779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77E7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3F3CB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F3CB8"/>
    <w:rPr>
      <w:sz w:val="20"/>
      <w:szCs w:val="20"/>
    </w:rPr>
  </w:style>
  <w:style w:type="character" w:styleId="FootnoteReference">
    <w:name w:val="footnote reference"/>
    <w:basedOn w:val="DefaultParagraphFont"/>
    <w:uiPriority w:val="99"/>
    <w:semiHidden/>
    <w:unhideWhenUsed/>
    <w:rsid w:val="003F3CB8"/>
    <w:rPr>
      <w:vertAlign w:val="superscript"/>
    </w:rPr>
  </w:style>
  <w:style w:type="character" w:styleId="Hyperlink">
    <w:name w:val="Hyperlink"/>
    <w:basedOn w:val="DefaultParagraphFont"/>
    <w:uiPriority w:val="99"/>
    <w:unhideWhenUsed/>
    <w:rsid w:val="003F3CB8"/>
    <w:rPr>
      <w:color w:val="0563C1" w:themeColor="hyperlink"/>
      <w:u w:val="single"/>
    </w:rPr>
  </w:style>
  <w:style w:type="character" w:styleId="PlaceholderText">
    <w:name w:val="Placeholder Text"/>
    <w:basedOn w:val="DefaultParagraphFont"/>
    <w:uiPriority w:val="99"/>
    <w:semiHidden/>
    <w:rsid w:val="00F77F01"/>
    <w:rPr>
      <w:color w:val="808080"/>
    </w:rPr>
  </w:style>
  <w:style w:type="paragraph" w:styleId="EndnoteText">
    <w:name w:val="endnote text"/>
    <w:basedOn w:val="Normal"/>
    <w:link w:val="EndnoteTextChar"/>
    <w:uiPriority w:val="99"/>
    <w:semiHidden/>
    <w:unhideWhenUsed/>
    <w:rsid w:val="00B3112C"/>
    <w:pPr>
      <w:spacing w:after="0" w:line="240" w:lineRule="auto"/>
    </w:pPr>
    <w:rPr>
      <w:sz w:val="20"/>
      <w:szCs w:val="20"/>
    </w:rPr>
  </w:style>
  <w:style w:type="character" w:customStyle="1" w:styleId="EndnoteTextChar">
    <w:name w:val="Endnote Text Char"/>
    <w:basedOn w:val="DefaultParagraphFont"/>
    <w:link w:val="EndnoteText"/>
    <w:uiPriority w:val="99"/>
    <w:semiHidden/>
    <w:rsid w:val="00B3112C"/>
    <w:rPr>
      <w:sz w:val="20"/>
      <w:szCs w:val="20"/>
    </w:rPr>
  </w:style>
  <w:style w:type="character" w:styleId="EndnoteReference">
    <w:name w:val="endnote reference"/>
    <w:basedOn w:val="DefaultParagraphFont"/>
    <w:uiPriority w:val="99"/>
    <w:semiHidden/>
    <w:unhideWhenUsed/>
    <w:rsid w:val="00B3112C"/>
    <w:rPr>
      <w:vertAlign w:val="superscript"/>
    </w:rPr>
  </w:style>
  <w:style w:type="paragraph" w:styleId="Header">
    <w:name w:val="header"/>
    <w:basedOn w:val="Normal"/>
    <w:link w:val="HeaderChar"/>
    <w:uiPriority w:val="99"/>
    <w:unhideWhenUsed/>
    <w:rsid w:val="00A047A8"/>
    <w:pPr>
      <w:tabs>
        <w:tab w:val="center" w:pos="4680"/>
        <w:tab w:val="right" w:pos="9360"/>
      </w:tabs>
      <w:spacing w:after="0" w:line="240" w:lineRule="auto"/>
    </w:pPr>
  </w:style>
  <w:style w:type="character" w:customStyle="1" w:styleId="HeaderChar">
    <w:name w:val="Header Char"/>
    <w:basedOn w:val="DefaultParagraphFont"/>
    <w:link w:val="Header"/>
    <w:uiPriority w:val="99"/>
    <w:rsid w:val="00A047A8"/>
  </w:style>
  <w:style w:type="paragraph" w:styleId="Footer">
    <w:name w:val="footer"/>
    <w:basedOn w:val="Normal"/>
    <w:link w:val="FooterChar"/>
    <w:uiPriority w:val="99"/>
    <w:unhideWhenUsed/>
    <w:rsid w:val="00A047A8"/>
    <w:pPr>
      <w:tabs>
        <w:tab w:val="center" w:pos="4680"/>
        <w:tab w:val="right" w:pos="9360"/>
      </w:tabs>
      <w:spacing w:after="0" w:line="240" w:lineRule="auto"/>
    </w:pPr>
  </w:style>
  <w:style w:type="character" w:customStyle="1" w:styleId="FooterChar">
    <w:name w:val="Footer Char"/>
    <w:basedOn w:val="DefaultParagraphFont"/>
    <w:link w:val="Footer"/>
    <w:uiPriority w:val="99"/>
    <w:rsid w:val="00A047A8"/>
  </w:style>
  <w:style w:type="character" w:styleId="PageNumber">
    <w:name w:val="page number"/>
    <w:basedOn w:val="DefaultParagraphFont"/>
    <w:uiPriority w:val="99"/>
    <w:semiHidden/>
    <w:unhideWhenUsed/>
    <w:rsid w:val="0069106B"/>
  </w:style>
  <w:style w:type="paragraph" w:styleId="Revision">
    <w:name w:val="Revision"/>
    <w:hidden/>
    <w:uiPriority w:val="99"/>
    <w:semiHidden/>
    <w:rsid w:val="00C60E0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57252">
      <w:bodyDiv w:val="1"/>
      <w:marLeft w:val="0"/>
      <w:marRight w:val="0"/>
      <w:marTop w:val="0"/>
      <w:marBottom w:val="0"/>
      <w:divBdr>
        <w:top w:val="none" w:sz="0" w:space="0" w:color="auto"/>
        <w:left w:val="none" w:sz="0" w:space="0" w:color="auto"/>
        <w:bottom w:val="none" w:sz="0" w:space="0" w:color="auto"/>
        <w:right w:val="none" w:sz="0" w:space="0" w:color="auto"/>
      </w:divBdr>
    </w:div>
    <w:div w:id="680082807">
      <w:bodyDiv w:val="1"/>
      <w:marLeft w:val="0"/>
      <w:marRight w:val="0"/>
      <w:marTop w:val="0"/>
      <w:marBottom w:val="0"/>
      <w:divBdr>
        <w:top w:val="none" w:sz="0" w:space="0" w:color="auto"/>
        <w:left w:val="none" w:sz="0" w:space="0" w:color="auto"/>
        <w:bottom w:val="none" w:sz="0" w:space="0" w:color="auto"/>
        <w:right w:val="none" w:sz="0" w:space="0" w:color="auto"/>
      </w:divBdr>
    </w:div>
    <w:div w:id="849103129">
      <w:bodyDiv w:val="1"/>
      <w:marLeft w:val="0"/>
      <w:marRight w:val="0"/>
      <w:marTop w:val="0"/>
      <w:marBottom w:val="0"/>
      <w:divBdr>
        <w:top w:val="none" w:sz="0" w:space="0" w:color="auto"/>
        <w:left w:val="none" w:sz="0" w:space="0" w:color="auto"/>
        <w:bottom w:val="none" w:sz="0" w:space="0" w:color="auto"/>
        <w:right w:val="none" w:sz="0" w:space="0" w:color="auto"/>
      </w:divBdr>
    </w:div>
    <w:div w:id="1468357403">
      <w:bodyDiv w:val="1"/>
      <w:marLeft w:val="0"/>
      <w:marRight w:val="0"/>
      <w:marTop w:val="0"/>
      <w:marBottom w:val="0"/>
      <w:divBdr>
        <w:top w:val="none" w:sz="0" w:space="0" w:color="auto"/>
        <w:left w:val="none" w:sz="0" w:space="0" w:color="auto"/>
        <w:bottom w:val="none" w:sz="0" w:space="0" w:color="auto"/>
        <w:right w:val="none" w:sz="0" w:space="0" w:color="auto"/>
      </w:divBdr>
    </w:div>
    <w:div w:id="1621305223">
      <w:bodyDiv w:val="1"/>
      <w:marLeft w:val="0"/>
      <w:marRight w:val="0"/>
      <w:marTop w:val="0"/>
      <w:marBottom w:val="0"/>
      <w:divBdr>
        <w:top w:val="none" w:sz="0" w:space="0" w:color="auto"/>
        <w:left w:val="none" w:sz="0" w:space="0" w:color="auto"/>
        <w:bottom w:val="none" w:sz="0" w:space="0" w:color="auto"/>
        <w:right w:val="none" w:sz="0" w:space="0" w:color="auto"/>
      </w:divBdr>
    </w:div>
    <w:div w:id="1686206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s://dictionary.apa.org/sensitivity-analys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2294</Words>
  <Characters>13080</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McGrew</dc:creator>
  <cp:keywords/>
  <dc:description/>
  <cp:lastModifiedBy>Kevin McGrew</cp:lastModifiedBy>
  <cp:revision>2</cp:revision>
  <cp:lastPrinted>2022-09-20T23:43:00Z</cp:lastPrinted>
  <dcterms:created xsi:type="dcterms:W3CDTF">2022-10-18T17:54:00Z</dcterms:created>
  <dcterms:modified xsi:type="dcterms:W3CDTF">2022-10-18T17:54:00Z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68dbd6cf17016e6077750d9d8c416884df41065b54f7a97204997393852bb374</vt:lpwstr>
  </property>
</Properties>
</file>